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500"/>
      </w:pPr>
      <w:r>
        <w:drawing>
          <wp:inline xmlns:a="http://schemas.openxmlformats.org/drawingml/2006/main" xmlns:pic="http://schemas.openxmlformats.org/drawingml/2006/picture">
            <wp:extent cx="2148840" cy="1438871"/>
            <wp:docPr id="1" name="Picture 1"/>
            <wp:cNvGraphicFramePr>
              <a:graphicFrameLocks noChangeAspect="1"/>
            </wp:cNvGraphicFramePr>
            <a:graphic>
              <a:graphicData uri="http://schemas.openxmlformats.org/drawingml/2006/picture">
                <pic:pic>
                  <pic:nvPicPr>
                    <pic:cNvPr id="0" name="zyntris-logo.png"/>
                    <pic:cNvPicPr/>
                  </pic:nvPicPr>
                  <pic:blipFill>
                    <a:blip r:embed="rId10"/>
                    <a:stretch>
                      <a:fillRect/>
                    </a:stretch>
                  </pic:blipFill>
                  <pic:spPr>
                    <a:xfrm>
                      <a:off x="0" y="0"/>
                      <a:ext cx="2148840" cy="1438871"/>
                    </a:xfrm>
                    <a:prstGeom prst="rect"/>
                  </pic:spPr>
                </pic:pic>
              </a:graphicData>
            </a:graphic>
          </wp:inline>
        </w:drawing>
      </w:r>
    </w:p>
    <w:p>
      <w:pPr>
        <w:spacing w:after="160"/>
      </w:pPr>
      <w:r>
        <w:rPr>
          <w:rFonts w:ascii="Arial" w:hAnsi="Arial"/>
          <w:b/>
          <w:color w:val="B8872D"/>
          <w:sz w:val="20"/>
        </w:rPr>
        <w:t>BUSINESS PROPOSAL</w:t>
      </w:r>
    </w:p>
    <w:p>
      <w:pPr>
        <w:pStyle w:val="Title"/>
      </w:pPr>
      <w:r>
        <w:t>Zyntris Operations</w:t>
        <w:br/>
        <w:t>for Transport Tech Africa</w:t>
      </w:r>
    </w:p>
    <w:p>
      <w:pPr>
        <w:spacing w:after="480"/>
      </w:pPr>
      <w:r>
        <w:rPr>
          <w:rFonts w:ascii="Arial" w:hAnsi="Arial"/>
          <w:color w:val="111820"/>
          <w:sz w:val="32"/>
        </w:rPr>
        <w:t>Companywide operations, HR and financial controls</w:t>
      </w:r>
    </w:p>
    <w:p>
      <w:pPr>
        <w:spacing w:before="240"/>
      </w:pPr>
      <w:r>
        <w:rPr>
          <w:b/>
          <w:color w:val="B8872D"/>
          <w:sz w:val="17"/>
        </w:rPr>
        <w:t>PREPARED FOR</w:t>
      </w:r>
    </w:p>
    <w:p>
      <w:pPr>
        <w:spacing w:after="320"/>
      </w:pPr>
      <w:r>
        <w:rPr>
          <w:b/>
          <w:sz w:val="26"/>
        </w:rPr>
        <w:t>Transport Tech Africa</w:t>
      </w:r>
    </w:p>
    <w:p>
      <w:pPr>
        <w:spacing w:after="80"/>
      </w:pPr>
      <w:r>
        <w:rPr>
          <w:color w:val="505A64"/>
          <w:sz w:val="18"/>
        </w:rPr>
        <w:t>Prepared by Zyntris Technologies  |  13 October 2026</w:t>
      </w:r>
    </w:p>
    <w:p>
      <w:pPr>
        <w:spacing w:before="560"/>
        <w:ind w:right="1008"/>
      </w:pPr>
      <w:r>
        <w:rPr>
          <w:color w:val="10253F"/>
          <w:sz w:val="24"/>
        </w:rPr>
        <w:t>A proposal for a dedicated company workspace connecting employee administration, internal requests, financial approvals and operational execution.</w:t>
      </w:r>
    </w:p>
    <w:p>
      <w:r>
        <w:br w:type="page"/>
      </w:r>
    </w:p>
    <w:p>
      <w:pPr>
        <w:pStyle w:val="Heading1"/>
      </w:pPr>
      <w:r>
        <w:t>Executive proposal</w:t>
      </w:r>
    </w:p>
    <w:p>
      <w:r>
        <w:t>We propose a companywide deployment of Zyntris Operations as Transport Tech Africa’s shared back-office workspace for people, internal requests, approvals, expenses and team execution. It gives employees a clear place to submit work, gives managers and approvers a consistent review path, and gives leadership a record of decisions and follow-up.</w:t>
      </w:r>
    </w:p>
    <w:p>
      <w:r>
        <w:t>Transport Tech Africa’s public profile describes a Lagos-based freight and package transportation business serving transport and supply-chain needs across Africa.[1] Zyntris is designed to support the internal operating processes around that work. It complements TTA’s specialist transport and logistics systems rather than replacing shipment execution tools.</w:t>
      </w:r>
    </w:p>
    <w:p>
      <w:pPr>
        <w:pStyle w:val="Heading2"/>
      </w:pPr>
      <w:r>
        <w:t>What the company gains</w:t>
      </w:r>
    </w:p>
    <w:tbl>
      <w:tblPr>
        <w:tblW w:type="auto" w:w="0"/>
        <w:jc w:val="left"/>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2376"/>
        <w:gridCol w:w="7589"/>
      </w:tblGrid>
      <w:tr>
        <w:trPr>
          <w:tblHeader w:val="true"/>
        </w:trPr>
        <w:tc>
          <w:tcPr>
            <w:tcW w:type="dxa" w:w="2376"/>
            <w:vAlign w:val="center"/>
            <w:shd w:fill="10253F"/>
            <w:tcMar>
              <w:top w:w="120" w:type="dxa"/>
              <w:start w:w="125" w:type="dxa"/>
              <w:bottom w:w="120" w:type="dxa"/>
              <w:end w:w="125" w:type="dxa"/>
            </w:tcMar>
          </w:tcPr>
          <w:p>
            <w:pPr>
              <w:spacing w:after="0"/>
            </w:pPr>
            <w:r>
              <w:rPr>
                <w:rFonts w:ascii="Arial" w:hAnsi="Arial"/>
                <w:b/>
                <w:color w:val="FFFFFF"/>
                <w:sz w:val="18"/>
              </w:rPr>
              <w:t>Operating need</w:t>
            </w:r>
          </w:p>
        </w:tc>
        <w:tc>
          <w:tcPr>
            <w:tcW w:type="dxa" w:w="7589"/>
            <w:vAlign w:val="center"/>
            <w:shd w:fill="10253F"/>
            <w:tcMar>
              <w:top w:w="120" w:type="dxa"/>
              <w:start w:w="125" w:type="dxa"/>
              <w:bottom w:w="120" w:type="dxa"/>
              <w:end w:w="125" w:type="dxa"/>
            </w:tcMar>
          </w:tcPr>
          <w:p>
            <w:pPr>
              <w:spacing w:after="0"/>
            </w:pPr>
            <w:r>
              <w:rPr>
                <w:rFonts w:ascii="Arial" w:hAnsi="Arial"/>
                <w:b/>
                <w:color w:val="FFFFFF"/>
                <w:sz w:val="18"/>
              </w:rPr>
              <w:t>How Zyntris supports it</w:t>
            </w:r>
          </w:p>
        </w:tc>
      </w:tr>
      <w:tr>
        <w:tc>
          <w:tcPr>
            <w:tcW w:type="dxa" w:w="2376"/>
            <w:vAlign w:val="center"/>
            <w:tcMar>
              <w:top w:w="95" w:type="dxa"/>
              <w:start w:w="115" w:type="dxa"/>
              <w:bottom w:w="95" w:type="dxa"/>
              <w:end w:w="115" w:type="dxa"/>
            </w:tcMar>
          </w:tcPr>
          <w:p>
            <w:pPr>
              <w:spacing w:after="0" w:line="252" w:lineRule="auto"/>
            </w:pPr>
            <w:r>
              <w:rPr>
                <w:rFonts w:ascii="Arial" w:hAnsi="Arial"/>
                <w:b/>
                <w:color w:val="111820"/>
                <w:sz w:val="18"/>
              </w:rPr>
              <w:t>A dependable employee record</w:t>
            </w:r>
          </w:p>
        </w:tc>
        <w:tc>
          <w:tcPr>
            <w:tcW w:type="dxa" w:w="7589"/>
            <w:vAlign w:val="center"/>
            <w:tcMar>
              <w:top w:w="95" w:type="dxa"/>
              <w:start w:w="115" w:type="dxa"/>
              <w:bottom w:w="95" w:type="dxa"/>
              <w:end w:w="115" w:type="dxa"/>
            </w:tcMar>
          </w:tcPr>
          <w:p>
            <w:pPr>
              <w:spacing w:after="0" w:line="252" w:lineRule="auto"/>
            </w:pPr>
            <w:r>
              <w:rPr>
                <w:rFonts w:ascii="Arial" w:hAnsi="Arial"/>
                <w:color w:val="111820"/>
                <w:sz w:val="18"/>
              </w:rPr>
              <w:t>HR profiles, departments, teams, line managers, assigned access and employee invitations in one tenant workspace.</w:t>
            </w:r>
          </w:p>
        </w:tc>
      </w:tr>
      <w:tr>
        <w:tc>
          <w:tcPr>
            <w:tcW w:type="dxa" w:w="2376"/>
            <w:vAlign w:val="center"/>
            <w:tcMar>
              <w:top w:w="95" w:type="dxa"/>
              <w:start w:w="115" w:type="dxa"/>
              <w:bottom w:w="95" w:type="dxa"/>
              <w:end w:w="115" w:type="dxa"/>
            </w:tcMar>
            <w:shd w:fill="F3F6F9"/>
          </w:tcPr>
          <w:p>
            <w:pPr>
              <w:spacing w:after="0" w:line="252" w:lineRule="auto"/>
            </w:pPr>
            <w:r>
              <w:rPr>
                <w:rFonts w:ascii="Arial" w:hAnsi="Arial"/>
                <w:b/>
                <w:color w:val="111820"/>
                <w:sz w:val="18"/>
              </w:rPr>
              <w:t>Visible, controlled spend</w:t>
            </w:r>
          </w:p>
        </w:tc>
        <w:tc>
          <w:tcPr>
            <w:tcW w:type="dxa" w:w="7589"/>
            <w:vAlign w:val="center"/>
            <w:tcMar>
              <w:top w:w="95" w:type="dxa"/>
              <w:start w:w="115" w:type="dxa"/>
              <w:bottom w:w="95" w:type="dxa"/>
              <w:end w:w="115" w:type="dxa"/>
            </w:tcMar>
            <w:shd w:fill="F3F6F9"/>
          </w:tcPr>
          <w:p>
            <w:pPr>
              <w:spacing w:after="0" w:line="252" w:lineRule="auto"/>
            </w:pPr>
            <w:r>
              <w:rPr>
                <w:rFonts w:ascii="Arial" w:hAnsi="Arial"/>
                <w:color w:val="111820"/>
                <w:sz w:val="18"/>
              </w:rPr>
              <w:t>Expense claims with receipt attachments, configurable policy checks, budgets and request history.</w:t>
            </w:r>
          </w:p>
        </w:tc>
      </w:tr>
      <w:tr>
        <w:tc>
          <w:tcPr>
            <w:tcW w:type="dxa" w:w="2376"/>
            <w:vAlign w:val="center"/>
            <w:tcMar>
              <w:top w:w="95" w:type="dxa"/>
              <w:start w:w="115" w:type="dxa"/>
              <w:bottom w:w="95" w:type="dxa"/>
              <w:end w:w="115" w:type="dxa"/>
            </w:tcMar>
          </w:tcPr>
          <w:p>
            <w:pPr>
              <w:spacing w:after="0" w:line="252" w:lineRule="auto"/>
            </w:pPr>
            <w:r>
              <w:rPr>
                <w:rFonts w:ascii="Arial" w:hAnsi="Arial"/>
                <w:b/>
                <w:color w:val="111820"/>
                <w:sz w:val="18"/>
              </w:rPr>
              <w:t>Clear financial accountability</w:t>
            </w:r>
          </w:p>
        </w:tc>
        <w:tc>
          <w:tcPr>
            <w:tcW w:type="dxa" w:w="7589"/>
            <w:vAlign w:val="center"/>
            <w:tcMar>
              <w:top w:w="95" w:type="dxa"/>
              <w:start w:w="115" w:type="dxa"/>
              <w:bottom w:w="95" w:type="dxa"/>
              <w:end w:w="115" w:type="dxa"/>
            </w:tcMar>
          </w:tcPr>
          <w:p>
            <w:pPr>
              <w:spacing w:after="0" w:line="252" w:lineRule="auto"/>
            </w:pPr>
            <w:r>
              <w:rPr>
                <w:rFonts w:ascii="Arial" w:hAnsi="Arial"/>
                <w:color w:val="111820"/>
                <w:sz w:val="18"/>
              </w:rPr>
              <w:t>CEO-first approvals, an agreed HR fallback, decision notes, return-for-edit, email and in-app notifications, and audit history.</w:t>
            </w:r>
          </w:p>
        </w:tc>
      </w:tr>
      <w:tr>
        <w:tc>
          <w:tcPr>
            <w:tcW w:type="dxa" w:w="2376"/>
            <w:vAlign w:val="center"/>
            <w:tcMar>
              <w:top w:w="95" w:type="dxa"/>
              <w:start w:w="115" w:type="dxa"/>
              <w:bottom w:w="95" w:type="dxa"/>
              <w:end w:w="115" w:type="dxa"/>
            </w:tcMar>
            <w:shd w:fill="F3F6F9"/>
          </w:tcPr>
          <w:p>
            <w:pPr>
              <w:spacing w:after="0" w:line="252" w:lineRule="auto"/>
            </w:pPr>
            <w:r>
              <w:rPr>
                <w:rFonts w:ascii="Arial" w:hAnsi="Arial"/>
                <w:b/>
                <w:color w:val="111820"/>
                <w:sz w:val="18"/>
              </w:rPr>
              <w:t>Coordinated team delivery</w:t>
            </w:r>
          </w:p>
        </w:tc>
        <w:tc>
          <w:tcPr>
            <w:tcW w:type="dxa" w:w="7589"/>
            <w:vAlign w:val="center"/>
            <w:tcMar>
              <w:top w:w="95" w:type="dxa"/>
              <w:start w:w="115" w:type="dxa"/>
              <w:bottom w:w="95" w:type="dxa"/>
              <w:end w:w="115" w:type="dxa"/>
            </w:tcMar>
            <w:shd w:fill="F3F6F9"/>
          </w:tcPr>
          <w:p>
            <w:pPr>
              <w:spacing w:after="0" w:line="252" w:lineRule="auto"/>
            </w:pPr>
            <w:r>
              <w:rPr>
                <w:rFonts w:ascii="Arial" w:hAnsi="Arial"/>
                <w:color w:val="111820"/>
                <w:sz w:val="18"/>
              </w:rPr>
              <w:t>Projects, tasks, meetings, internal calendar, vendors, assets and helpdesk records alongside HR and finance workflows.</w:t>
            </w:r>
          </w:p>
        </w:tc>
      </w:tr>
    </w:tbl>
    <w:p>
      <w:pPr>
        <w:spacing w:after="20"/>
      </w:pPr>
    </w:p>
    <w:p>
      <w:pPr>
        <w:pStyle w:val="Heading2"/>
      </w:pPr>
      <w:r>
        <w:t>Recommended outcome</w:t>
      </w:r>
    </w:p>
    <w:p>
      <w:r>
        <w:t>A companywide Zyntris workspace configured to TTA’s structure and operating rules, with trained administrators, approvers, managers and employees. The scope proceeds directly to full-company rollout after discovery and user acceptance; it does not include a pilot phase.</w:t>
      </w:r>
    </w:p>
    <w:p>
      <w:r>
        <w:br w:type="page"/>
      </w:r>
    </w:p>
    <w:p>
      <w:pPr>
        <w:pStyle w:val="Heading1"/>
      </w:pPr>
      <w:r>
        <w:t>Proposed solution scope</w:t>
      </w:r>
    </w:p>
    <w:p>
      <w:r>
        <w:t>The following modules form the proposed operational workspace. TTA’s process owners will confirm the fields, roles, approval thresholds and reports during implementation.</w:t>
      </w:r>
    </w:p>
    <w:tbl>
      <w:tblPr>
        <w:tblW w:type="auto" w:w="0"/>
        <w:jc w:val="left"/>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2333"/>
        <w:gridCol w:w="7632"/>
      </w:tblGrid>
      <w:tr>
        <w:trPr>
          <w:tblHeader w:val="true"/>
        </w:trPr>
        <w:tc>
          <w:tcPr>
            <w:tcW w:type="dxa" w:w="2333"/>
            <w:vAlign w:val="center"/>
            <w:shd w:fill="10253F"/>
            <w:tcMar>
              <w:top w:w="120" w:type="dxa"/>
              <w:start w:w="125" w:type="dxa"/>
              <w:bottom w:w="120" w:type="dxa"/>
              <w:end w:w="125" w:type="dxa"/>
            </w:tcMar>
          </w:tcPr>
          <w:p>
            <w:pPr>
              <w:spacing w:after="0"/>
            </w:pPr>
            <w:r>
              <w:rPr>
                <w:rFonts w:ascii="Arial" w:hAnsi="Arial"/>
                <w:b/>
                <w:color w:val="FFFFFF"/>
                <w:sz w:val="17"/>
              </w:rPr>
              <w:t>Module</w:t>
            </w:r>
          </w:p>
        </w:tc>
        <w:tc>
          <w:tcPr>
            <w:tcW w:type="dxa" w:w="7632"/>
            <w:vAlign w:val="center"/>
            <w:shd w:fill="10253F"/>
            <w:tcMar>
              <w:top w:w="120" w:type="dxa"/>
              <w:start w:w="125" w:type="dxa"/>
              <w:bottom w:w="120" w:type="dxa"/>
              <w:end w:w="125" w:type="dxa"/>
            </w:tcMar>
          </w:tcPr>
          <w:p>
            <w:pPr>
              <w:spacing w:after="0"/>
            </w:pPr>
            <w:r>
              <w:rPr>
                <w:rFonts w:ascii="Arial" w:hAnsi="Arial"/>
                <w:b/>
                <w:color w:val="FFFFFF"/>
                <w:sz w:val="17"/>
              </w:rPr>
              <w:t>Proposed use at Transport Tech Africa</w:t>
            </w:r>
          </w:p>
        </w:tc>
      </w:tr>
      <w:tr>
        <w:tc>
          <w:tcPr>
            <w:tcW w:type="dxa" w:w="2333"/>
            <w:vAlign w:val="center"/>
            <w:tcMar>
              <w:top w:w="95" w:type="dxa"/>
              <w:start w:w="115" w:type="dxa"/>
              <w:bottom w:w="95" w:type="dxa"/>
              <w:end w:w="115" w:type="dxa"/>
            </w:tcMar>
          </w:tcPr>
          <w:p>
            <w:pPr>
              <w:spacing w:after="0" w:line="252" w:lineRule="auto"/>
            </w:pPr>
            <w:r>
              <w:rPr>
                <w:rFonts w:ascii="Arial" w:hAnsi="Arial"/>
                <w:b/>
                <w:color w:val="111820"/>
                <w:sz w:val="17"/>
              </w:rPr>
              <w:t>Organization and access</w:t>
            </w:r>
          </w:p>
        </w:tc>
        <w:tc>
          <w:tcPr>
            <w:tcW w:type="dxa" w:w="7632"/>
            <w:vAlign w:val="center"/>
            <w:tcMar>
              <w:top w:w="95" w:type="dxa"/>
              <w:start w:w="115" w:type="dxa"/>
              <w:bottom w:w="95" w:type="dxa"/>
              <w:end w:w="115" w:type="dxa"/>
            </w:tcMar>
          </w:tcPr>
          <w:p>
            <w:pPr>
              <w:spacing w:after="0" w:line="252" w:lineRule="auto"/>
            </w:pPr>
            <w:r>
              <w:rPr>
                <w:rFonts w:ascii="Arial" w:hAnsi="Arial"/>
                <w:color w:val="111820"/>
                <w:sz w:val="17"/>
              </w:rPr>
              <w:t>Create a dedicated organization workspace; configure departments, teams, roles, permissions and administrator access.</w:t>
            </w:r>
          </w:p>
        </w:tc>
      </w:tr>
      <w:tr>
        <w:tc>
          <w:tcPr>
            <w:tcW w:type="dxa" w:w="2333"/>
            <w:vAlign w:val="center"/>
            <w:tcMar>
              <w:top w:w="95" w:type="dxa"/>
              <w:start w:w="115" w:type="dxa"/>
              <w:bottom w:w="95" w:type="dxa"/>
              <w:end w:w="115" w:type="dxa"/>
            </w:tcMar>
            <w:shd w:fill="F3F6F9"/>
          </w:tcPr>
          <w:p>
            <w:pPr>
              <w:spacing w:after="0" w:line="252" w:lineRule="auto"/>
            </w:pPr>
            <w:r>
              <w:rPr>
                <w:rFonts w:ascii="Arial" w:hAnsi="Arial"/>
                <w:b/>
                <w:color w:val="111820"/>
                <w:sz w:val="17"/>
              </w:rPr>
              <w:t>HR and employee lifecycle</w:t>
            </w:r>
          </w:p>
        </w:tc>
        <w:tc>
          <w:tcPr>
            <w:tcW w:type="dxa" w:w="7632"/>
            <w:vAlign w:val="center"/>
            <w:tcMar>
              <w:top w:w="95" w:type="dxa"/>
              <w:start w:w="115" w:type="dxa"/>
              <w:bottom w:w="95" w:type="dxa"/>
              <w:end w:w="115" w:type="dxa"/>
            </w:tcMar>
            <w:shd w:fill="F3F6F9"/>
          </w:tcPr>
          <w:p>
            <w:pPr>
              <w:spacing w:after="0" w:line="252" w:lineRule="auto"/>
            </w:pPr>
            <w:r>
              <w:rPr>
                <w:rFonts w:ascii="Arial" w:hAnsi="Arial"/>
                <w:color w:val="111820"/>
                <w:sz w:val="17"/>
              </w:rPr>
              <w:t>Maintain employee profiles, assign line managers and access levels, invite employees, manage leave and attendance, and run appraisals including KPIs, 360 feedback and performance plans.</w:t>
            </w:r>
          </w:p>
        </w:tc>
      </w:tr>
      <w:tr>
        <w:tc>
          <w:tcPr>
            <w:tcW w:type="dxa" w:w="2333"/>
            <w:vAlign w:val="center"/>
            <w:tcMar>
              <w:top w:w="95" w:type="dxa"/>
              <w:start w:w="115" w:type="dxa"/>
              <w:bottom w:w="95" w:type="dxa"/>
              <w:end w:w="115" w:type="dxa"/>
            </w:tcMar>
          </w:tcPr>
          <w:p>
            <w:pPr>
              <w:spacing w:after="0" w:line="252" w:lineRule="auto"/>
            </w:pPr>
            <w:r>
              <w:rPr>
                <w:rFonts w:ascii="Arial" w:hAnsi="Arial"/>
                <w:b/>
                <w:color w:val="111820"/>
                <w:sz w:val="17"/>
              </w:rPr>
              <w:t>Expenses and financial requests</w:t>
            </w:r>
          </w:p>
        </w:tc>
        <w:tc>
          <w:tcPr>
            <w:tcW w:type="dxa" w:w="7632"/>
            <w:vAlign w:val="center"/>
            <w:tcMar>
              <w:top w:w="95" w:type="dxa"/>
              <w:start w:w="115" w:type="dxa"/>
              <w:bottom w:w="95" w:type="dxa"/>
              <w:end w:w="115" w:type="dxa"/>
            </w:tcMar>
          </w:tcPr>
          <w:p>
            <w:pPr>
              <w:spacing w:after="0" w:line="252" w:lineRule="auto"/>
            </w:pPr>
            <w:r>
              <w:rPr>
                <w:rFonts w:ascii="Arial" w:hAnsi="Arial"/>
                <w:color w:val="111820"/>
                <w:sz w:val="17"/>
              </w:rPr>
              <w:t>Capture claims and receipts, apply TTA’s expense policy, route requests for approval, return incomplete submissions with notes and retain the decision history.</w:t>
            </w:r>
          </w:p>
        </w:tc>
      </w:tr>
      <w:tr>
        <w:tc>
          <w:tcPr>
            <w:tcW w:type="dxa" w:w="2333"/>
            <w:vAlign w:val="center"/>
            <w:tcMar>
              <w:top w:w="95" w:type="dxa"/>
              <w:start w:w="115" w:type="dxa"/>
              <w:bottom w:w="95" w:type="dxa"/>
              <w:end w:w="115" w:type="dxa"/>
            </w:tcMar>
            <w:shd w:fill="F3F6F9"/>
          </w:tcPr>
          <w:p>
            <w:pPr>
              <w:spacing w:after="0" w:line="252" w:lineRule="auto"/>
            </w:pPr>
            <w:r>
              <w:rPr>
                <w:rFonts w:ascii="Arial" w:hAnsi="Arial"/>
                <w:b/>
                <w:color w:val="111820"/>
                <w:sz w:val="17"/>
              </w:rPr>
              <w:t>Budgets and procurement</w:t>
            </w:r>
          </w:p>
        </w:tc>
        <w:tc>
          <w:tcPr>
            <w:tcW w:type="dxa" w:w="7632"/>
            <w:vAlign w:val="center"/>
            <w:tcMar>
              <w:top w:w="95" w:type="dxa"/>
              <w:start w:w="115" w:type="dxa"/>
              <w:bottom w:w="95" w:type="dxa"/>
              <w:end w:w="115" w:type="dxa"/>
            </w:tcMar>
            <w:shd w:fill="F3F6F9"/>
          </w:tcPr>
          <w:p>
            <w:pPr>
              <w:spacing w:after="0" w:line="252" w:lineRule="auto"/>
            </w:pPr>
            <w:r>
              <w:rPr>
                <w:rFonts w:ascii="Arial" w:hAnsi="Arial"/>
                <w:color w:val="111820"/>
                <w:sz w:val="17"/>
              </w:rPr>
              <w:t>Track budget allocations and purchase requests, compare quotes, issue purchase orders, record receipt and invoice matching, and retain finance decisions.</w:t>
            </w:r>
          </w:p>
        </w:tc>
      </w:tr>
      <w:tr>
        <w:tc>
          <w:tcPr>
            <w:tcW w:type="dxa" w:w="2333"/>
            <w:vAlign w:val="center"/>
            <w:tcMar>
              <w:top w:w="95" w:type="dxa"/>
              <w:start w:w="115" w:type="dxa"/>
              <w:bottom w:w="95" w:type="dxa"/>
              <w:end w:w="115" w:type="dxa"/>
            </w:tcMar>
          </w:tcPr>
          <w:p>
            <w:pPr>
              <w:spacing w:after="0" w:line="252" w:lineRule="auto"/>
            </w:pPr>
            <w:r>
              <w:rPr>
                <w:rFonts w:ascii="Arial" w:hAnsi="Arial"/>
                <w:b/>
                <w:color w:val="111820"/>
                <w:sz w:val="17"/>
              </w:rPr>
              <w:t>Payroll documentation</w:t>
            </w:r>
          </w:p>
        </w:tc>
        <w:tc>
          <w:tcPr>
            <w:tcW w:type="dxa" w:w="7632"/>
            <w:vAlign w:val="center"/>
            <w:tcMar>
              <w:top w:w="95" w:type="dxa"/>
              <w:start w:w="115" w:type="dxa"/>
              <w:bottom w:w="95" w:type="dxa"/>
              <w:end w:w="115" w:type="dxa"/>
            </w:tcMar>
          </w:tcPr>
          <w:p>
            <w:pPr>
              <w:spacing w:after="0" w:line="252" w:lineRule="auto"/>
            </w:pPr>
            <w:r>
              <w:rPr>
                <w:rFonts w:ascii="Arial" w:hAnsi="Arial"/>
                <w:color w:val="111820"/>
                <w:sz w:val="17"/>
              </w:rPr>
              <w:t>Maintain remuneration, recurring earnings and deductions, record employee bank details securely, calculate draft payroll records and produce employee payslips.</w:t>
            </w:r>
          </w:p>
        </w:tc>
      </w:tr>
      <w:tr>
        <w:tc>
          <w:tcPr>
            <w:tcW w:type="dxa" w:w="2333"/>
            <w:vAlign w:val="center"/>
            <w:tcMar>
              <w:top w:w="95" w:type="dxa"/>
              <w:start w:w="115" w:type="dxa"/>
              <w:bottom w:w="95" w:type="dxa"/>
              <w:end w:w="115" w:type="dxa"/>
            </w:tcMar>
            <w:shd w:fill="F3F6F9"/>
          </w:tcPr>
          <w:p>
            <w:pPr>
              <w:spacing w:after="0" w:line="252" w:lineRule="auto"/>
            </w:pPr>
            <w:r>
              <w:rPr>
                <w:rFonts w:ascii="Arial" w:hAnsi="Arial"/>
                <w:b/>
                <w:color w:val="111820"/>
                <w:sz w:val="17"/>
              </w:rPr>
              <w:t>Projects and tasks</w:t>
            </w:r>
          </w:p>
        </w:tc>
        <w:tc>
          <w:tcPr>
            <w:tcW w:type="dxa" w:w="7632"/>
            <w:vAlign w:val="center"/>
            <w:tcMar>
              <w:top w:w="95" w:type="dxa"/>
              <w:start w:w="115" w:type="dxa"/>
              <w:bottom w:w="95" w:type="dxa"/>
              <w:end w:w="115" w:type="dxa"/>
            </w:tcMar>
            <w:shd w:fill="F3F6F9"/>
          </w:tcPr>
          <w:p>
            <w:pPr>
              <w:spacing w:after="0" w:line="252" w:lineRule="auto"/>
            </w:pPr>
            <w:r>
              <w:rPr>
                <w:rFonts w:ascii="Arial" w:hAnsi="Arial"/>
                <w:color w:val="111820"/>
                <w:sz w:val="17"/>
              </w:rPr>
              <w:t>Plan projects, milestones, dependencies, budgets and timesheets; assign tasks, owners and due dates; monitor status and overdue work.</w:t>
            </w:r>
          </w:p>
        </w:tc>
      </w:tr>
      <w:tr>
        <w:tc>
          <w:tcPr>
            <w:tcW w:type="dxa" w:w="2333"/>
            <w:vAlign w:val="center"/>
            <w:tcMar>
              <w:top w:w="95" w:type="dxa"/>
              <w:start w:w="115" w:type="dxa"/>
              <w:bottom w:w="95" w:type="dxa"/>
              <w:end w:w="115" w:type="dxa"/>
            </w:tcMar>
          </w:tcPr>
          <w:p>
            <w:pPr>
              <w:spacing w:after="0" w:line="252" w:lineRule="auto"/>
            </w:pPr>
            <w:r>
              <w:rPr>
                <w:rFonts w:ascii="Arial" w:hAnsi="Arial"/>
                <w:b/>
                <w:color w:val="111820"/>
                <w:sz w:val="17"/>
              </w:rPr>
              <w:t>Customers and operations</w:t>
            </w:r>
          </w:p>
        </w:tc>
        <w:tc>
          <w:tcPr>
            <w:tcW w:type="dxa" w:w="7632"/>
            <w:vAlign w:val="center"/>
            <w:tcMar>
              <w:top w:w="95" w:type="dxa"/>
              <w:start w:w="115" w:type="dxa"/>
              <w:bottom w:w="95" w:type="dxa"/>
              <w:end w:w="115" w:type="dxa"/>
            </w:tcMar>
          </w:tcPr>
          <w:p>
            <w:pPr>
              <w:spacing w:after="0" w:line="252" w:lineRule="auto"/>
            </w:pPr>
            <w:r>
              <w:rPr>
                <w:rFonts w:ascii="Arial" w:hAnsi="Arial"/>
                <w:color w:val="111820"/>
                <w:sz w:val="17"/>
              </w:rPr>
              <w:t>Maintain CRM records and pipeline activity alongside vendors, assets, internal service tickets, documents and calendar events.</w:t>
            </w:r>
          </w:p>
        </w:tc>
      </w:tr>
      <w:tr>
        <w:tc>
          <w:tcPr>
            <w:tcW w:type="dxa" w:w="2333"/>
            <w:vAlign w:val="center"/>
            <w:tcMar>
              <w:top w:w="95" w:type="dxa"/>
              <w:start w:w="115" w:type="dxa"/>
              <w:bottom w:w="95" w:type="dxa"/>
              <w:end w:w="115" w:type="dxa"/>
            </w:tcMar>
            <w:shd w:fill="F3F6F9"/>
          </w:tcPr>
          <w:p>
            <w:pPr>
              <w:spacing w:after="0" w:line="252" w:lineRule="auto"/>
            </w:pPr>
            <w:r>
              <w:rPr>
                <w:rFonts w:ascii="Arial" w:hAnsi="Arial"/>
                <w:b/>
                <w:color w:val="111820"/>
                <w:sz w:val="17"/>
              </w:rPr>
              <w:t>Reporting and governance</w:t>
            </w:r>
          </w:p>
        </w:tc>
        <w:tc>
          <w:tcPr>
            <w:tcW w:type="dxa" w:w="7632"/>
            <w:vAlign w:val="center"/>
            <w:tcMar>
              <w:top w:w="95" w:type="dxa"/>
              <w:start w:w="115" w:type="dxa"/>
              <w:bottom w:w="95" w:type="dxa"/>
              <w:end w:w="115" w:type="dxa"/>
            </w:tcMar>
            <w:shd w:fill="F3F6F9"/>
          </w:tcPr>
          <w:p>
            <w:pPr>
              <w:spacing w:after="0" w:line="252" w:lineRule="auto"/>
            </w:pPr>
            <w:r>
              <w:rPr>
                <w:rFonts w:ascii="Arial" w:hAnsi="Arial"/>
                <w:color w:val="111820"/>
                <w:sz w:val="17"/>
              </w:rPr>
              <w:t>Give authorized users role-scoped dashboards, CSV exports, in-app notices, email notifications and audit records for key decisions.</w:t>
            </w:r>
          </w:p>
        </w:tc>
      </w:tr>
    </w:tbl>
    <w:p>
      <w:pPr>
        <w:spacing w:after="20"/>
      </w:pPr>
    </w:p>
    <w:p>
      <w:pPr>
        <w:pStyle w:val="Heading2"/>
      </w:pPr>
      <w:r>
        <w:t>Payroll scope and controls</w:t>
      </w:r>
    </w:p>
    <w:p>
      <w:r>
        <w:t>Payroll is for documenting remuneration and producing payslips. It does not initiate bank transfers. TTA will supply and professionally validate its statutory rates, deductions, payroll periods and effective dates before any payroll run is approved. Bank details are held for record purposes and are not included in payslips or payroll exports.</w:t>
      </w:r>
    </w:p>
    <w:p>
      <w:r>
        <w:br w:type="page"/>
      </w:r>
    </w:p>
    <w:p>
      <w:pPr>
        <w:pStyle w:val="Heading1"/>
      </w:pPr>
      <w:r>
        <w:t>Approval and operating model</w:t>
      </w:r>
    </w:p>
    <w:p>
      <w:pPr>
        <w:pStyle w:val="Heading2"/>
      </w:pPr>
      <w:r>
        <w:t>Financial requests</w:t>
      </w:r>
    </w:p>
    <w:p>
      <w:r>
        <w:t>Every financial request routes to the CEO as the first approver. If the CEO is unavailable, the designated HR approver acts as the second level. TTA’s HR and organization administrators can configure the financial categories, approvers, limits, escalation rules and supporting notes. The final authority matrix will be agreed with TTA before launch.</w:t>
      </w:r>
    </w:p>
    <w:p>
      <w:pPr>
        <w:pStyle w:val="ListBullet"/>
        <w:spacing w:after="80"/>
        <w:ind w:left="360" w:hanging="216"/>
      </w:pPr>
      <w:r>
        <w:t>An employee submits a request or expense claim with the required purpose, amount, budget and supporting receipt or quote.</w:t>
      </w:r>
    </w:p>
    <w:p>
      <w:pPr>
        <w:pStyle w:val="ListBullet"/>
        <w:spacing w:after="80"/>
        <w:ind w:left="360" w:hanging="216"/>
      </w:pPr>
      <w:r>
        <w:t>The assigned approver receives an email and in-app notification. The request remains visible in the approval queue until action is taken.</w:t>
      </w:r>
    </w:p>
    <w:p>
      <w:pPr>
        <w:pStyle w:val="ListBullet"/>
        <w:spacing w:after="80"/>
        <w:ind w:left="360" w:hanging="216"/>
      </w:pPr>
      <w:r>
        <w:t>The CEO approves, declines or returns the request for edits. If unavailable, the configured HR fallback reviews it.</w:t>
      </w:r>
    </w:p>
    <w:p>
      <w:pPr>
        <w:pStyle w:val="ListBullet"/>
        <w:spacing w:after="80"/>
        <w:ind w:left="360" w:hanging="216"/>
      </w:pPr>
      <w:r>
        <w:t>The requester receives the decision by email and in the app. Notes and resubmissions remain attached to the request history.</w:t>
      </w:r>
    </w:p>
    <w:p>
      <w:pPr>
        <w:pStyle w:val="Heading2"/>
      </w:pPr>
      <w:r>
        <w:t>Employee onboarding</w:t>
      </w:r>
    </w:p>
    <w:p>
      <w:r>
        <w:t>An HR administrator creates the employee profile, assigns the department, team, line manager and access level, then sends an account invitation. The employee uses the single-use setup link to activate their account and complete the agreed information. Role-based permissions control access to HR, finance and operational records.</w:t>
      </w:r>
    </w:p>
    <w:p>
      <w:pPr>
        <w:pStyle w:val="Heading2"/>
      </w:pPr>
      <w:r>
        <w:t>Operational visibility</w:t>
      </w:r>
    </w:p>
    <w:p>
      <w:r>
        <w:t>Managers can use project and task ownership, milestones, due dates, timesheets and activity records to coordinate internal work. HR and operations teams can maintain service tickets, vendor details, assets and internal calendar events. These are back-office coordination workflows, not real-time shipment or fleet operations.</w:t>
      </w:r>
    </w:p>
    <w:p>
      <w:r>
        <w:br w:type="page"/>
      </w:r>
    </w:p>
    <w:p>
      <w:pPr>
        <w:pStyle w:val="Heading1"/>
      </w:pPr>
      <w:r>
        <w:t>Companywide implementation</w:t>
      </w:r>
    </w:p>
    <w:p>
      <w:r>
        <w:t>We estimate an initial 4–6 week implementation window, subject to data readiness, stakeholder availability and confirmed integrations. We will agree a detailed plan with TTA at project initiation and sequence department onboarding around operational readiness.</w:t>
      </w:r>
    </w:p>
    <w:tbl>
      <w:tblPr>
        <w:tblW w:type="auto" w:w="0"/>
        <w:jc w:val="left"/>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2347"/>
        <w:gridCol w:w="7618"/>
      </w:tblGrid>
      <w:tr>
        <w:trPr>
          <w:tblHeader w:val="true"/>
        </w:trPr>
        <w:tc>
          <w:tcPr>
            <w:tcW w:type="dxa" w:w="2347"/>
            <w:vAlign w:val="center"/>
            <w:shd w:fill="10253F"/>
            <w:tcMar>
              <w:top w:w="120" w:type="dxa"/>
              <w:start w:w="125" w:type="dxa"/>
              <w:bottom w:w="120" w:type="dxa"/>
              <w:end w:w="125" w:type="dxa"/>
            </w:tcMar>
          </w:tcPr>
          <w:p>
            <w:pPr>
              <w:spacing w:after="0"/>
            </w:pPr>
            <w:r>
              <w:rPr>
                <w:rFonts w:ascii="Arial" w:hAnsi="Arial"/>
                <w:b/>
                <w:color w:val="FFFFFF"/>
                <w:sz w:val="17"/>
              </w:rPr>
              <w:t>Work stage</w:t>
            </w:r>
          </w:p>
        </w:tc>
        <w:tc>
          <w:tcPr>
            <w:tcW w:type="dxa" w:w="7618"/>
            <w:vAlign w:val="center"/>
            <w:shd w:fill="10253F"/>
            <w:tcMar>
              <w:top w:w="120" w:type="dxa"/>
              <w:start w:w="125" w:type="dxa"/>
              <w:bottom w:w="120" w:type="dxa"/>
              <w:end w:w="125" w:type="dxa"/>
            </w:tcMar>
          </w:tcPr>
          <w:p>
            <w:pPr>
              <w:spacing w:after="0"/>
            </w:pPr>
            <w:r>
              <w:rPr>
                <w:rFonts w:ascii="Arial" w:hAnsi="Arial"/>
                <w:b/>
                <w:color w:val="FFFFFF"/>
                <w:sz w:val="17"/>
              </w:rPr>
              <w:t>Activities and acceptance result</w:t>
            </w:r>
          </w:p>
        </w:tc>
      </w:tr>
      <w:tr>
        <w:tc>
          <w:tcPr>
            <w:tcW w:type="dxa" w:w="2347"/>
            <w:vAlign w:val="center"/>
            <w:tcMar>
              <w:top w:w="95" w:type="dxa"/>
              <w:start w:w="115" w:type="dxa"/>
              <w:bottom w:w="95" w:type="dxa"/>
              <w:end w:w="115" w:type="dxa"/>
            </w:tcMar>
          </w:tcPr>
          <w:p>
            <w:pPr>
              <w:spacing w:after="0" w:line="252" w:lineRule="auto"/>
            </w:pPr>
            <w:r>
              <w:rPr>
                <w:rFonts w:ascii="Arial" w:hAnsi="Arial"/>
                <w:b/>
                <w:color w:val="111820"/>
                <w:sz w:val="17"/>
              </w:rPr>
              <w:t>Discover and design</w:t>
            </w:r>
          </w:p>
        </w:tc>
        <w:tc>
          <w:tcPr>
            <w:tcW w:type="dxa" w:w="7618"/>
            <w:vAlign w:val="center"/>
            <w:tcMar>
              <w:top w:w="95" w:type="dxa"/>
              <w:start w:w="115" w:type="dxa"/>
              <w:bottom w:w="95" w:type="dxa"/>
              <w:end w:w="115" w:type="dxa"/>
            </w:tcMar>
          </w:tcPr>
          <w:p>
            <w:pPr>
              <w:spacing w:after="0" w:line="252" w:lineRule="auto"/>
            </w:pPr>
            <w:r>
              <w:rPr>
                <w:rFonts w:ascii="Arial" w:hAnsi="Arial"/>
                <w:color w:val="111820"/>
                <w:sz w:val="17"/>
              </w:rPr>
              <w:t>Map departments, roles, financial categories, approval limits, leave rules, payroll inputs, reports and source systems. TTA approves the scope and access matrix.</w:t>
            </w:r>
          </w:p>
        </w:tc>
      </w:tr>
      <w:tr>
        <w:tc>
          <w:tcPr>
            <w:tcW w:type="dxa" w:w="2347"/>
            <w:vAlign w:val="center"/>
            <w:tcMar>
              <w:top w:w="95" w:type="dxa"/>
              <w:start w:w="115" w:type="dxa"/>
              <w:bottom w:w="95" w:type="dxa"/>
              <w:end w:w="115" w:type="dxa"/>
            </w:tcMar>
            <w:shd w:fill="F3F6F9"/>
          </w:tcPr>
          <w:p>
            <w:pPr>
              <w:spacing w:after="0" w:line="252" w:lineRule="auto"/>
            </w:pPr>
            <w:r>
              <w:rPr>
                <w:rFonts w:ascii="Arial" w:hAnsi="Arial"/>
                <w:b/>
                <w:color w:val="111820"/>
                <w:sz w:val="17"/>
              </w:rPr>
              <w:t>Configure and prepare data</w:t>
            </w:r>
          </w:p>
        </w:tc>
        <w:tc>
          <w:tcPr>
            <w:tcW w:type="dxa" w:w="7618"/>
            <w:vAlign w:val="center"/>
            <w:tcMar>
              <w:top w:w="95" w:type="dxa"/>
              <w:start w:w="115" w:type="dxa"/>
              <w:bottom w:w="95" w:type="dxa"/>
              <w:end w:w="115" w:type="dxa"/>
            </w:tcMar>
            <w:shd w:fill="F3F6F9"/>
          </w:tcPr>
          <w:p>
            <w:pPr>
              <w:spacing w:after="0" w:line="252" w:lineRule="auto"/>
            </w:pPr>
            <w:r>
              <w:rPr>
                <w:rFonts w:ascii="Arial" w:hAnsi="Arial"/>
                <w:color w:val="111820"/>
                <w:sz w:val="17"/>
              </w:rPr>
              <w:t>Set up the tenant, teams, access, workflows and policies; map approved employee and operating data; reconcile imports and confirm notification settings.</w:t>
            </w:r>
          </w:p>
        </w:tc>
      </w:tr>
      <w:tr>
        <w:tc>
          <w:tcPr>
            <w:tcW w:type="dxa" w:w="2347"/>
            <w:vAlign w:val="center"/>
            <w:tcMar>
              <w:top w:w="95" w:type="dxa"/>
              <w:start w:w="115" w:type="dxa"/>
              <w:bottom w:w="95" w:type="dxa"/>
              <w:end w:w="115" w:type="dxa"/>
            </w:tcMar>
          </w:tcPr>
          <w:p>
            <w:pPr>
              <w:spacing w:after="0" w:line="252" w:lineRule="auto"/>
            </w:pPr>
            <w:r>
              <w:rPr>
                <w:rFonts w:ascii="Arial" w:hAnsi="Arial"/>
                <w:b/>
                <w:color w:val="111820"/>
                <w:sz w:val="17"/>
              </w:rPr>
              <w:t>User acceptance and enablement</w:t>
            </w:r>
          </w:p>
        </w:tc>
        <w:tc>
          <w:tcPr>
            <w:tcW w:type="dxa" w:w="7618"/>
            <w:vAlign w:val="center"/>
            <w:tcMar>
              <w:top w:w="95" w:type="dxa"/>
              <w:start w:w="115" w:type="dxa"/>
              <w:bottom w:w="95" w:type="dxa"/>
              <w:end w:w="115" w:type="dxa"/>
            </w:tcMar>
          </w:tcPr>
          <w:p>
            <w:pPr>
              <w:spacing w:after="0" w:line="252" w:lineRule="auto"/>
            </w:pPr>
            <w:r>
              <w:rPr>
                <w:rFonts w:ascii="Arial" w:hAnsi="Arial"/>
                <w:color w:val="111820"/>
                <w:sz w:val="17"/>
              </w:rPr>
              <w:t>Test normal and exception cases for onboarding, approvals, expense receipts, payroll preflight, reports and access boundaries. Train administrators, approvers, managers and employees.</w:t>
            </w:r>
          </w:p>
        </w:tc>
      </w:tr>
      <w:tr>
        <w:tc>
          <w:tcPr>
            <w:tcW w:type="dxa" w:w="2347"/>
            <w:vAlign w:val="center"/>
            <w:tcMar>
              <w:top w:w="95" w:type="dxa"/>
              <w:start w:w="115" w:type="dxa"/>
              <w:bottom w:w="95" w:type="dxa"/>
              <w:end w:w="115" w:type="dxa"/>
            </w:tcMar>
            <w:shd w:fill="F3F6F9"/>
          </w:tcPr>
          <w:p>
            <w:pPr>
              <w:spacing w:after="0" w:line="252" w:lineRule="auto"/>
            </w:pPr>
            <w:r>
              <w:rPr>
                <w:rFonts w:ascii="Arial" w:hAnsi="Arial"/>
                <w:b/>
                <w:color w:val="111820"/>
                <w:sz w:val="17"/>
              </w:rPr>
              <w:t>Companywide go-live</w:t>
            </w:r>
          </w:p>
        </w:tc>
        <w:tc>
          <w:tcPr>
            <w:tcW w:type="dxa" w:w="7618"/>
            <w:vAlign w:val="center"/>
            <w:tcMar>
              <w:top w:w="95" w:type="dxa"/>
              <w:start w:w="115" w:type="dxa"/>
              <w:bottom w:w="95" w:type="dxa"/>
              <w:end w:w="115" w:type="dxa"/>
            </w:tcMar>
            <w:shd w:fill="F3F6F9"/>
          </w:tcPr>
          <w:p>
            <w:pPr>
              <w:spacing w:after="0" w:line="252" w:lineRule="auto"/>
            </w:pPr>
            <w:r>
              <w:rPr>
                <w:rFonts w:ascii="Arial" w:hAnsi="Arial"/>
                <w:color w:val="111820"/>
                <w:sz w:val="17"/>
              </w:rPr>
              <w:t>Release access to approved employee groups, monitor issues and support adoption. Review agreed success measures after launch.</w:t>
            </w:r>
          </w:p>
        </w:tc>
      </w:tr>
    </w:tbl>
    <w:p>
      <w:pPr>
        <w:spacing w:after="20"/>
      </w:pPr>
    </w:p>
    <w:p>
      <w:pPr>
        <w:pStyle w:val="Heading2"/>
      </w:pPr>
      <w:r>
        <w:t>Security and recovery</w:t>
      </w:r>
    </w:p>
    <w:p>
      <w:r>
        <w:t>The platform provides tenant-scoped records, role-based access, authenticator-based two-factor authentication for privileged roles, secure sessions, audit logging, private file storage and encryption for stored payroll bank details. Before TTA loads live records, the parties should agree retention, administrator ownership, incident contacts and evidence of an independent backup destination and tested recovery procedure. No external security certification is represented in this proposal.</w:t>
      </w:r>
    </w:p>
    <w:p>
      <w:pPr>
        <w:pStyle w:val="Heading2"/>
      </w:pPr>
      <w:r>
        <w:t>Measures agreed with TTA</w:t>
      </w:r>
    </w:p>
    <w:p>
      <w:r>
        <w:t>At discovery, we will agree measurable indicators such as employee profile completion, request turnaround by category, claims returned for missing evidence, leave processing time, payroll review completion, overdue task visibility and audit completeness. We will establish baselines with TTA; no savings or productivity percentage is guaranteed in advance.</w:t>
      </w:r>
    </w:p>
    <w:p>
      <w:r>
        <w:br w:type="page"/>
      </w:r>
    </w:p>
    <w:p>
      <w:pPr>
        <w:pStyle w:val="Heading1"/>
      </w:pPr>
      <w:r>
        <w:t>Scope boundaries and assumptions</w:t>
      </w:r>
    </w:p>
    <w:p>
      <w:r>
        <w:t>Zyntris Operations is an internal operations, HR and financial-control platform. The proposed deployment does not include native shipment booking or tracking, route optimization, GPS/telematics, fleet dispatch, customs clearance, carrier-status connections or freight-costing workflows. These remain in TTA’s transport systems unless a separate integration is defined and priced.</w:t>
      </w:r>
    </w:p>
    <w:p>
      <w:r>
        <w:t>The compliance flow is excluded. Google or Outlook two-way calendar synchronization and publication of a mobile app to the Apple App Store or Google Play are separate integrations and are not included in this deployment scope. Payroll statutory rates and TTA’s approval policies remain subject to review and sign-off by TTA.</w:t>
      </w:r>
    </w:p>
    <w:p>
      <w:pPr>
        <w:pStyle w:val="Heading1"/>
      </w:pPr>
      <w:r>
        <w:t>Commercial approach</w:t>
      </w:r>
    </w:p>
    <w:p>
      <w:r>
        <w:t>We will prepare a commercial schedule after confirming TTA’s active-user count, selected modules, data migration needs, support expectations and any integrations or bespoke changes. The schedule will separate subscription, implementation and configuration, optional integration work, support and applicable taxes. Subscriptions are activated manually through the Zyntris Business Development Manager; the application does not process subscription payments.</w:t>
      </w:r>
    </w:p>
    <w:p>
      <w:r>
        <w:t>The final order form or service agreement should record payment terms, data-processing responsibilities, support levels, renewal and cancellation terms, agreed retention and recovery arrangements, and the production start date.</w:t>
      </w:r>
    </w:p>
    <w:p>
      <w:pPr>
        <w:pStyle w:val="Heading2"/>
      </w:pPr>
      <w:r>
        <w:t>Recommended next steps</w:t>
      </w:r>
    </w:p>
    <w:p>
      <w:pPr>
        <w:pStyle w:val="ListBullet"/>
        <w:spacing w:after="80"/>
        <w:ind w:left="360" w:hanging="216"/>
      </w:pPr>
      <w:r>
        <w:t>Nominate TTA’s executive sponsor and representatives from HR, Finance, Operations, IT and data management.</w:t>
      </w:r>
    </w:p>
    <w:p>
      <w:pPr>
        <w:pStyle w:val="ListBullet"/>
        <w:spacing w:after="80"/>
        <w:ind w:left="360" w:hanging="216"/>
      </w:pPr>
      <w:r>
        <w:t>Hold a 60-minute discovery session to confirm companywide users, priority workflows, systems and reporting needs.</w:t>
      </w:r>
    </w:p>
    <w:p>
      <w:pPr>
        <w:pStyle w:val="ListBullet"/>
        <w:spacing w:after="80"/>
        <w:ind w:left="360" w:hanging="216"/>
      </w:pPr>
      <w:r>
        <w:t>Approve the CEO-first financial approval matrix, HR fallback, role assignments, payroll policy ownership and data-retention requirements.</w:t>
      </w:r>
    </w:p>
    <w:p>
      <w:pPr>
        <w:pStyle w:val="ListBullet"/>
        <w:spacing w:after="80"/>
        <w:ind w:left="360" w:hanging="216"/>
      </w:pPr>
      <w:r>
        <w:t>Confirm the commercial schedule and implementation plan, then configure the dedicated TTA workspace for companywide rollout.</w:t>
      </w:r>
    </w:p>
    <w:p>
      <w:pPr>
        <w:pStyle w:val="Heading2"/>
      </w:pPr>
      <w:r>
        <w:t>Proposal validity and decision</w:t>
      </w:r>
    </w:p>
    <w:p>
      <w:r>
        <w:t>This proposal defines a recommended scope and approach, not a binding price or service-level commitment. Pricing, final dates and any integration obligations will be set out in a mutually approved order form or service agreement. We invite Transport Tech Africa to authorize discovery and commercial scoping for the companywide Zyntris Operations deployment.</w:t>
      </w:r>
    </w:p>
    <w:p>
      <w:pPr>
        <w:pStyle w:val="Heading2"/>
      </w:pPr>
      <w:r>
        <w:t>Source note</w:t>
      </w:r>
    </w:p>
    <w:p>
      <w:pPr>
        <w:spacing w:after="0"/>
        <w:ind w:left="259"/>
      </w:pPr>
      <w:r>
        <w:rPr>
          <w:sz w:val="17"/>
        </w:rPr>
        <w:t xml:space="preserve">[1] Transport Tech Africa public company profile, accessed 13 October 2026: </w:t>
      </w:r>
      <w:hyperlink r:id="rId11">
        <w:r>
          <w:rPr>
            <w:color w:val="10253F"/>
            <w:u w:val="single"/>
          </w:rPr>
          <w:t>LinkedIn company profile</w:t>
        </w:r>
      </w:hyperlink>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5A646E"/>
        <w:sz w:val="16"/>
      </w:rPr>
      <w:t xml:space="preserve">Zyntris Operations  |  Transport Tech Africa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118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ng.linkedin.com/company/transport-tech-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Zyntris Operations Business Proposal for Transport Tech Africa</dc:title>
  <dc:subject>Companywide operations, HR and financial controls proposal</dc:subject>
  <dc:creator>Zyntris Technologies</dc:creator>
  <cp:keywords>Zyntris Operations, Transport Tech Africa, HR, Operations, Financial Controls</cp:keywords>
  <dc:description>generated by python-docx</dc:description>
  <cp:lastModifiedBy/>
  <cp:revision>1</cp:revision>
  <dcterms:created xsi:type="dcterms:W3CDTF">2013-12-23T23:15:00Z</dcterms:created>
  <dcterms:modified xsi:type="dcterms:W3CDTF">2013-12-23T23:15:00Z</dcterms:modified>
  <cp:category/>
</cp:coreProperties>
</file>