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drawing>
          <wp:inline xmlns:a="http://schemas.openxmlformats.org/drawingml/2006/main" xmlns:pic="http://schemas.openxmlformats.org/drawingml/2006/picture">
            <wp:extent cx="2240280" cy="1500099"/>
            <wp:docPr id="1" name="Picture 1"/>
            <wp:cNvGraphicFramePr>
              <a:graphicFrameLocks noChangeAspect="1"/>
            </wp:cNvGraphicFramePr>
            <a:graphic>
              <a:graphicData uri="http://schemas.openxmlformats.org/drawingml/2006/picture">
                <pic:pic>
                  <pic:nvPicPr>
                    <pic:cNvPr id="0" name="zyntris-logo.png"/>
                    <pic:cNvPicPr/>
                  </pic:nvPicPr>
                  <pic:blipFill>
                    <a:blip r:embed="rId9"/>
                    <a:stretch>
                      <a:fillRect/>
                    </a:stretch>
                  </pic:blipFill>
                  <pic:spPr>
                    <a:xfrm>
                      <a:off x="0" y="0"/>
                      <a:ext cx="2240280" cy="1500099"/>
                    </a:xfrm>
                    <a:prstGeom prst="rect"/>
                  </pic:spPr>
                </pic:pic>
              </a:graphicData>
            </a:graphic>
          </wp:inline>
        </w:drawing>
      </w:r>
    </w:p>
    <w:p>
      <w:pPr>
        <w:spacing w:before="100" w:after="200"/>
      </w:pPr>
      <w:r>
        <w:rPr>
          <w:rFonts w:ascii="Arial" w:hAnsi="Arial"/>
          <w:b/>
          <w:color w:val="B7842E"/>
          <w:sz w:val="24"/>
        </w:rPr>
        <w:t>BUSINESS PROPOSAL</w:t>
      </w:r>
    </w:p>
    <w:p>
      <w:pPr>
        <w:pStyle w:val="Title"/>
        <w:spacing w:after="0"/>
      </w:pPr>
      <w:r>
        <w:t>Zyntris Operations</w:t>
      </w:r>
    </w:p>
    <w:p>
      <w:pPr>
        <w:spacing w:after="220"/>
      </w:pPr>
      <w:r>
        <w:rPr>
          <w:rFonts w:ascii="Arial" w:hAnsi="Arial"/>
          <w:b/>
          <w:color w:val="111111"/>
          <w:sz w:val="50"/>
        </w:rPr>
        <w:t>for Transport Tech Africa</w:t>
      </w:r>
    </w:p>
    <w:p>
      <w:pPr>
        <w:spacing w:after="480"/>
      </w:pPr>
      <w:r>
        <w:rPr>
          <w:color w:val="596574"/>
          <w:sz w:val="28"/>
        </w:rPr>
        <w:t>Companywide operations, HR, finance, projects and transport support</w:t>
      </w:r>
    </w:p>
    <w:p>
      <w:pPr>
        <w:spacing w:after="60"/>
      </w:pPr>
      <w:r>
        <w:rPr>
          <w:b/>
          <w:color w:val="B7842E"/>
          <w:sz w:val="20"/>
        </w:rPr>
        <w:t>PREPARED FOR</w:t>
      </w:r>
    </w:p>
    <w:p>
      <w:pPr>
        <w:spacing w:after="60"/>
      </w:pPr>
      <w:r>
        <w:rPr>
          <w:b/>
          <w:sz w:val="30"/>
        </w:rPr>
        <w:t>Transport Tech Africa</w:t>
      </w:r>
    </w:p>
    <w:p>
      <w:r>
        <w:t>Prepared by Zyntris Technologies  |  29 October 2026</w:t>
      </w:r>
    </w:p>
    <w:p>
      <w:r>
        <w:t>A proposal for a dedicated company workspace to coordinate employee services, approvals, finance controls and operational execution.</w:t>
      </w:r>
    </w:p>
    <w:p>
      <w:r>
        <w:br w:type="page"/>
      </w:r>
    </w:p>
    <w:p>
      <w:pPr>
        <w:pStyle w:val="Heading1"/>
      </w:pPr>
      <w:r>
        <w:t>Executive proposal</w:t>
      </w:r>
    </w:p>
    <w:p>
      <w:r>
        <w:t>We propose a companywide deployment of Zyntris Operations for Transport Tech Africa. The platform brings HR administration, employee self-service, financial requests, payroll documentation, projects, customer records and day-to-day operational controls into one organization workspace. TTA can configure roles and entitlements to match its structure, then give staff and managers a consistent place to submit, review and track work.</w:t>
      </w:r>
    </w:p>
    <w:p>
      <w:r>
        <w:t>Zyntris is designed to complement TTA’s specialist transport and logistics systems. Its fleet module supports internal vehicle records and trip dispatch, but it does not replace a shipment-management, GPS or route-optimization platform.</w:t>
      </w:r>
    </w:p>
    <w:p>
      <w:pPr>
        <w:pStyle w:val="Heading2"/>
      </w:pPr>
      <w:r>
        <w:t>What Transport Tech Africa gains</w:t>
      </w:r>
    </w:p>
    <w:tbl>
      <w:tblPr>
        <w:tblW w:type="auto" w:w="0"/>
        <w:jc w:val="center"/>
        <w:tblLayout w:type="fixed"/>
        <w:tblLook w:firstColumn="1" w:firstRow="1" w:lastColumn="0" w:lastRow="0" w:noHBand="0" w:noVBand="1" w:val="04A0"/>
        <w:tblBorders>
          <w:top w:val="single" w:sz="5" w:space="0" w:color="D6DEE7"/>
          <w:left w:val="single" w:sz="5" w:space="0" w:color="D6DEE7"/>
          <w:bottom w:val="single" w:sz="5" w:space="0" w:color="D6DEE7"/>
          <w:right w:val="single" w:sz="5" w:space="0" w:color="D6DEE7"/>
          <w:insideH w:val="single" w:sz="5" w:space="0" w:color="D6DEE7"/>
          <w:insideV w:val="single" w:sz="5" w:space="0" w:color="D6DEE7"/>
        </w:tblBorders>
      </w:tblPr>
      <w:tblGrid>
        <w:gridCol w:w="4997"/>
        <w:gridCol w:w="4997"/>
      </w:tblGrid>
      <w:tr>
        <w:trPr>
          <w:tblHeader w:val="true"/>
        </w:trPr>
        <w:tc>
          <w:tcPr>
            <w:tcW w:type="dxa" w:w="2520"/>
            <w:shd w:fill="102B46"/>
            <w:vAlign w:val="center"/>
            <w:tcMar>
              <w:top w:w="105" w:type="dxa"/>
              <w:start w:w="125" w:type="dxa"/>
              <w:bottom w:w="105" w:type="dxa"/>
              <w:end w:w="125" w:type="dxa"/>
            </w:tcMar>
          </w:tcPr>
          <w:p>
            <w:r>
              <w:rPr>
                <w:rFonts w:ascii="Arial" w:hAnsi="Arial"/>
                <w:b/>
                <w:color w:val="FFFFFF"/>
                <w:sz w:val="18"/>
              </w:rPr>
              <w:t>Operating need</w:t>
            </w:r>
          </w:p>
        </w:tc>
        <w:tc>
          <w:tcPr>
            <w:tcW w:type="dxa" w:w="7200"/>
            <w:shd w:fill="102B46"/>
            <w:vAlign w:val="center"/>
            <w:tcMar>
              <w:top w:w="105" w:type="dxa"/>
              <w:start w:w="125" w:type="dxa"/>
              <w:bottom w:w="105" w:type="dxa"/>
              <w:end w:w="125" w:type="dxa"/>
            </w:tcMar>
          </w:tcPr>
          <w:p>
            <w:r>
              <w:rPr>
                <w:rFonts w:ascii="Arial" w:hAnsi="Arial"/>
                <w:b/>
                <w:color w:val="FFFFFF"/>
                <w:sz w:val="18"/>
              </w:rPr>
              <w:t>How Zyntris supports it</w:t>
            </w:r>
          </w:p>
        </w:tc>
      </w:tr>
      <w:tr>
        <w:trPr>
          <w:cantSplit/>
        </w:trPr>
        <w:tc>
          <w:tcPr>
            <w:tcW w:type="dxa" w:w="2520"/>
            <w:vAlign w:val="center"/>
            <w:tcMar>
              <w:top w:w="105" w:type="dxa"/>
              <w:start w:w="125" w:type="dxa"/>
              <w:bottom w:w="105" w:type="dxa"/>
              <w:end w:w="125" w:type="dxa"/>
            </w:tcMar>
          </w:tcPr>
          <w:p>
            <w:pPr>
              <w:spacing w:after="20" w:line="247" w:lineRule="auto"/>
            </w:pPr>
            <w:r>
              <w:rPr>
                <w:rFonts w:ascii="Arial" w:hAnsi="Arial"/>
                <w:b/>
                <w:color w:val="111111"/>
                <w:sz w:val="18"/>
              </w:rPr>
              <w:t>Reliable employee records</w:t>
            </w:r>
          </w:p>
        </w:tc>
        <w:tc>
          <w:tcPr>
            <w:tcW w:type="dxa" w:w="7200"/>
            <w:vAlign w:val="center"/>
            <w:tcMar>
              <w:top w:w="105" w:type="dxa"/>
              <w:start w:w="125" w:type="dxa"/>
              <w:bottom w:w="105" w:type="dxa"/>
              <w:end w:w="125" w:type="dxa"/>
            </w:tcMar>
          </w:tcPr>
          <w:p>
            <w:pPr>
              <w:spacing w:after="20" w:line="247" w:lineRule="auto"/>
            </w:pPr>
            <w:r>
              <w:rPr>
                <w:rFonts w:ascii="Arial" w:hAnsi="Arial"/>
                <w:color w:val="111111"/>
                <w:sz w:val="18"/>
              </w:rPr>
              <w:t>Employee profiles, departments, teams, reporting lines, access assignments and onboarding invitations.</w:t>
            </w:r>
          </w:p>
        </w:tc>
      </w:tr>
      <w:tr>
        <w:trPr>
          <w:cantSplit/>
        </w:trPr>
        <w:tc>
          <w:tcPr>
            <w:tcW w:type="dxa" w:w="2520"/>
            <w:vAlign w:val="center"/>
            <w:tcMar>
              <w:top w:w="105" w:type="dxa"/>
              <w:start w:w="125" w:type="dxa"/>
              <w:bottom w:w="105" w:type="dxa"/>
              <w:end w:w="125" w:type="dxa"/>
            </w:tcMar>
            <w:shd w:fill="F2F5F8"/>
          </w:tcPr>
          <w:p>
            <w:pPr>
              <w:spacing w:after="20" w:line="247" w:lineRule="auto"/>
            </w:pPr>
            <w:r>
              <w:rPr>
                <w:rFonts w:ascii="Arial" w:hAnsi="Arial"/>
                <w:b/>
                <w:color w:val="111111"/>
                <w:sz w:val="18"/>
              </w:rPr>
              <w:t>Controlled spending</w:t>
            </w:r>
          </w:p>
        </w:tc>
        <w:tc>
          <w:tcPr>
            <w:tcW w:type="dxa" w:w="7200"/>
            <w:vAlign w:val="center"/>
            <w:tcMar>
              <w:top w:w="105" w:type="dxa"/>
              <w:start w:w="125" w:type="dxa"/>
              <w:bottom w:w="105" w:type="dxa"/>
              <w:end w:w="125" w:type="dxa"/>
            </w:tcMar>
            <w:shd w:fill="F2F5F8"/>
          </w:tcPr>
          <w:p>
            <w:pPr>
              <w:spacing w:after="20" w:line="247" w:lineRule="auto"/>
            </w:pPr>
            <w:r>
              <w:rPr>
                <w:rFonts w:ascii="Arial" w:hAnsi="Arial"/>
                <w:color w:val="111111"/>
                <w:sz w:val="18"/>
              </w:rPr>
              <w:t>Expense evidence, budgets, purchase requests, approval routing and traceable decision history.</w:t>
            </w:r>
          </w:p>
        </w:tc>
      </w:tr>
      <w:tr>
        <w:trPr>
          <w:cantSplit/>
        </w:trPr>
        <w:tc>
          <w:tcPr>
            <w:tcW w:type="dxa" w:w="2520"/>
            <w:vAlign w:val="center"/>
            <w:tcMar>
              <w:top w:w="105" w:type="dxa"/>
              <w:start w:w="125" w:type="dxa"/>
              <w:bottom w:w="105" w:type="dxa"/>
              <w:end w:w="125" w:type="dxa"/>
            </w:tcMar>
          </w:tcPr>
          <w:p>
            <w:pPr>
              <w:spacing w:after="20" w:line="247" w:lineRule="auto"/>
            </w:pPr>
            <w:r>
              <w:rPr>
                <w:rFonts w:ascii="Arial" w:hAnsi="Arial"/>
                <w:b/>
                <w:color w:val="111111"/>
                <w:sz w:val="18"/>
              </w:rPr>
              <w:t>Clear accountability</w:t>
            </w:r>
          </w:p>
        </w:tc>
        <w:tc>
          <w:tcPr>
            <w:tcW w:type="dxa" w:w="7200"/>
            <w:vAlign w:val="center"/>
            <w:tcMar>
              <w:top w:w="105" w:type="dxa"/>
              <w:start w:w="125" w:type="dxa"/>
              <w:bottom w:w="105" w:type="dxa"/>
              <w:end w:w="125" w:type="dxa"/>
            </w:tcMar>
          </w:tcPr>
          <w:p>
            <w:pPr>
              <w:spacing w:after="20" w:line="247" w:lineRule="auto"/>
            </w:pPr>
            <w:r>
              <w:rPr>
                <w:rFonts w:ascii="Arial" w:hAnsi="Arial"/>
                <w:color w:val="111111"/>
                <w:sz w:val="18"/>
              </w:rPr>
              <w:t>Role-based access, CEO-first financial approvals, notes, reminders, audit records and management reporting.</w:t>
            </w:r>
          </w:p>
        </w:tc>
      </w:tr>
      <w:tr>
        <w:trPr>
          <w:cantSplit/>
        </w:trPr>
        <w:tc>
          <w:tcPr>
            <w:tcW w:type="dxa" w:w="2520"/>
            <w:vAlign w:val="center"/>
            <w:tcMar>
              <w:top w:w="105" w:type="dxa"/>
              <w:start w:w="125" w:type="dxa"/>
              <w:bottom w:w="105" w:type="dxa"/>
              <w:end w:w="125" w:type="dxa"/>
            </w:tcMar>
            <w:shd w:fill="F2F5F8"/>
          </w:tcPr>
          <w:p>
            <w:pPr>
              <w:spacing w:after="20" w:line="247" w:lineRule="auto"/>
            </w:pPr>
            <w:r>
              <w:rPr>
                <w:rFonts w:ascii="Arial" w:hAnsi="Arial"/>
                <w:b/>
                <w:color w:val="111111"/>
                <w:sz w:val="18"/>
              </w:rPr>
              <w:t>Coordinated execution</w:t>
            </w:r>
          </w:p>
        </w:tc>
        <w:tc>
          <w:tcPr>
            <w:tcW w:type="dxa" w:w="7200"/>
            <w:vAlign w:val="center"/>
            <w:tcMar>
              <w:top w:w="105" w:type="dxa"/>
              <w:start w:w="125" w:type="dxa"/>
              <w:bottom w:w="105" w:type="dxa"/>
              <w:end w:w="125" w:type="dxa"/>
            </w:tcMar>
            <w:shd w:fill="F2F5F8"/>
          </w:tcPr>
          <w:p>
            <w:pPr>
              <w:spacing w:after="20" w:line="247" w:lineRule="auto"/>
            </w:pPr>
            <w:r>
              <w:rPr>
                <w:rFonts w:ascii="Arial" w:hAnsi="Arial"/>
                <w:color w:val="111111"/>
                <w:sz w:val="18"/>
              </w:rPr>
              <w:t>Projects, tasks, internal calendar, fleet records, vendors, assets and support tickets in the same workspace.</w:t>
            </w:r>
          </w:p>
        </w:tc>
      </w:tr>
    </w:tbl>
    <w:p>
      <w:pPr>
        <w:spacing w:after="20"/>
      </w:pPr>
    </w:p>
    <w:p>
      <w:pPr>
        <w:pStyle w:val="Heading2"/>
      </w:pPr>
      <w:r>
        <w:t>Recommended outcome</w:t>
      </w:r>
    </w:p>
    <w:p>
      <w:r>
        <w:t>A dedicated TTA workspace configured to the company’s teams, permissions, policies and approval rules, with administrators, approvers, managers and employees trained for full-company use. The rollout proceeds to companywide deployment after configuration and user acceptance; it does not include a pilot phase.</w:t>
      </w:r>
    </w:p>
    <w:p>
      <w:r>
        <w:br w:type="page"/>
      </w:r>
    </w:p>
    <w:p>
      <w:pPr>
        <w:pStyle w:val="Heading1"/>
      </w:pPr>
      <w:r>
        <w:t>Application feature catalogue</w:t>
      </w:r>
    </w:p>
    <w:p>
      <w:r>
        <w:t>The following catalogue describes the operational areas available in Zyntris Operations. TTA can enable only the services included in its agreed scope. Workflows, thresholds, roles and data fields will be confirmed with TTA before production use.</w:t>
      </w:r>
    </w:p>
    <w:tbl>
      <w:tblPr>
        <w:tblW w:type="auto" w:w="0"/>
        <w:jc w:val="center"/>
        <w:tblLayout w:type="fixed"/>
        <w:tblLook w:firstColumn="1" w:firstRow="1" w:lastColumn="0" w:lastRow="0" w:noHBand="0" w:noVBand="1" w:val="04A0"/>
        <w:tblBorders>
          <w:top w:val="single" w:sz="5" w:space="0" w:color="D6DEE7"/>
          <w:left w:val="single" w:sz="5" w:space="0" w:color="D6DEE7"/>
          <w:bottom w:val="single" w:sz="5" w:space="0" w:color="D6DEE7"/>
          <w:right w:val="single" w:sz="5" w:space="0" w:color="D6DEE7"/>
          <w:insideH w:val="single" w:sz="5" w:space="0" w:color="D6DEE7"/>
          <w:insideV w:val="single" w:sz="5" w:space="0" w:color="D6DEE7"/>
        </w:tblBorders>
      </w:tblPr>
      <w:tblGrid>
        <w:gridCol w:w="4997"/>
        <w:gridCol w:w="4997"/>
      </w:tblGrid>
      <w:tr>
        <w:trPr>
          <w:tblHeader w:val="true"/>
        </w:trPr>
        <w:tc>
          <w:tcPr>
            <w:tcW w:type="dxa" w:w="2592"/>
            <w:shd w:fill="102B46"/>
            <w:vAlign w:val="center"/>
            <w:tcMar>
              <w:top w:w="105" w:type="dxa"/>
              <w:start w:w="125" w:type="dxa"/>
              <w:bottom w:w="105" w:type="dxa"/>
              <w:end w:w="125" w:type="dxa"/>
            </w:tcMar>
          </w:tcPr>
          <w:p>
            <w:r>
              <w:rPr>
                <w:rFonts w:ascii="Arial" w:hAnsi="Arial"/>
                <w:b/>
                <w:color w:val="FFFFFF"/>
                <w:sz w:val="17"/>
              </w:rPr>
              <w:t>Module</w:t>
            </w:r>
          </w:p>
        </w:tc>
        <w:tc>
          <w:tcPr>
            <w:tcW w:type="dxa" w:w="7128"/>
            <w:shd w:fill="102B46"/>
            <w:vAlign w:val="center"/>
            <w:tcMar>
              <w:top w:w="105" w:type="dxa"/>
              <w:start w:w="125" w:type="dxa"/>
              <w:bottom w:w="105" w:type="dxa"/>
              <w:end w:w="125" w:type="dxa"/>
            </w:tcMar>
          </w:tcPr>
          <w:p>
            <w:r>
              <w:rPr>
                <w:rFonts w:ascii="Arial" w:hAnsi="Arial"/>
                <w:b/>
                <w:color w:val="FFFFFF"/>
                <w:sz w:val="17"/>
              </w:rPr>
              <w:t>What it supports</w:t>
            </w:r>
          </w:p>
        </w:tc>
      </w:tr>
      <w:tr>
        <w:trPr>
          <w:cantSplit/>
        </w:trPr>
        <w:tc>
          <w:tcPr>
            <w:tcW w:type="dxa" w:w="2592"/>
            <w:vAlign w:val="center"/>
            <w:tcMar>
              <w:top w:w="105" w:type="dxa"/>
              <w:start w:w="125" w:type="dxa"/>
              <w:bottom w:w="105" w:type="dxa"/>
              <w:end w:w="125" w:type="dxa"/>
            </w:tcMar>
          </w:tcPr>
          <w:p>
            <w:pPr>
              <w:spacing w:after="20" w:line="247" w:lineRule="auto"/>
            </w:pPr>
            <w:r>
              <w:rPr>
                <w:rFonts w:ascii="Arial" w:hAnsi="Arial"/>
                <w:b/>
                <w:color w:val="111111"/>
                <w:sz w:val="17"/>
              </w:rPr>
              <w:t>Organization workspace and access</w:t>
            </w:r>
          </w:p>
        </w:tc>
        <w:tc>
          <w:tcPr>
            <w:tcW w:type="dxa" w:w="7128"/>
            <w:vAlign w:val="center"/>
            <w:tcMar>
              <w:top w:w="105" w:type="dxa"/>
              <w:start w:w="125" w:type="dxa"/>
              <w:bottom w:w="105" w:type="dxa"/>
              <w:end w:w="125" w:type="dxa"/>
            </w:tcMar>
          </w:tcPr>
          <w:p>
            <w:pPr>
              <w:spacing w:after="20" w:line="247" w:lineRule="auto"/>
            </w:pPr>
            <w:r>
              <w:rPr>
                <w:rFonts w:ascii="Arial" w:hAnsi="Arial"/>
                <w:color w:val="111111"/>
                <w:sz w:val="17"/>
              </w:rPr>
              <w:t>Create an organization workspace; configure company profile, departments, teams, reporting relationships, roles, permissions and service entitlements.</w:t>
            </w:r>
          </w:p>
        </w:tc>
      </w:tr>
      <w:tr>
        <w:trPr>
          <w:cantSplit/>
        </w:trPr>
        <w:tc>
          <w:tcPr>
            <w:tcW w:type="dxa" w:w="2592"/>
            <w:vAlign w:val="center"/>
            <w:tcMar>
              <w:top w:w="105" w:type="dxa"/>
              <w:start w:w="125" w:type="dxa"/>
              <w:bottom w:w="105" w:type="dxa"/>
              <w:end w:w="125" w:type="dxa"/>
            </w:tcMar>
            <w:shd w:fill="F2F5F8"/>
          </w:tcPr>
          <w:p>
            <w:pPr>
              <w:spacing w:after="20" w:line="247" w:lineRule="auto"/>
            </w:pPr>
            <w:r>
              <w:rPr>
                <w:rFonts w:ascii="Arial" w:hAnsi="Arial"/>
                <w:b/>
                <w:color w:val="111111"/>
                <w:sz w:val="17"/>
              </w:rPr>
              <w:t>Dashboard and notifications</w:t>
            </w:r>
          </w:p>
        </w:tc>
        <w:tc>
          <w:tcPr>
            <w:tcW w:type="dxa" w:w="7128"/>
            <w:vAlign w:val="center"/>
            <w:tcMar>
              <w:top w:w="105" w:type="dxa"/>
              <w:start w:w="125" w:type="dxa"/>
              <w:bottom w:w="105" w:type="dxa"/>
              <w:end w:w="125" w:type="dxa"/>
            </w:tcMar>
            <w:shd w:fill="F2F5F8"/>
          </w:tcPr>
          <w:p>
            <w:pPr>
              <w:spacing w:after="20" w:line="247" w:lineRule="auto"/>
            </w:pPr>
            <w:r>
              <w:rPr>
                <w:rFonts w:ascii="Arial" w:hAnsi="Arial"/>
                <w:color w:val="111111"/>
                <w:sz w:val="17"/>
              </w:rPr>
              <w:t>Show work and approval summaries for the signed-in user. In-app alerts and email notices support assigned requests, invitations, approvals and selected workflow events.</w:t>
            </w:r>
          </w:p>
        </w:tc>
      </w:tr>
      <w:tr>
        <w:trPr>
          <w:cantSplit/>
        </w:trPr>
        <w:tc>
          <w:tcPr>
            <w:tcW w:type="dxa" w:w="2592"/>
            <w:vAlign w:val="center"/>
            <w:tcMar>
              <w:top w:w="105" w:type="dxa"/>
              <w:start w:w="125" w:type="dxa"/>
              <w:bottom w:w="105" w:type="dxa"/>
              <w:end w:w="125" w:type="dxa"/>
            </w:tcMar>
          </w:tcPr>
          <w:p>
            <w:pPr>
              <w:spacing w:after="20" w:line="247" w:lineRule="auto"/>
            </w:pPr>
            <w:r>
              <w:rPr>
                <w:rFonts w:ascii="Arial" w:hAnsi="Arial"/>
                <w:b/>
                <w:color w:val="111111"/>
                <w:sz w:val="17"/>
              </w:rPr>
              <w:t>Employee directory and onboarding</w:t>
            </w:r>
          </w:p>
        </w:tc>
        <w:tc>
          <w:tcPr>
            <w:tcW w:type="dxa" w:w="7128"/>
            <w:vAlign w:val="center"/>
            <w:tcMar>
              <w:top w:w="105" w:type="dxa"/>
              <w:start w:w="125" w:type="dxa"/>
              <w:bottom w:w="105" w:type="dxa"/>
              <w:end w:w="125" w:type="dxa"/>
            </w:tcMar>
          </w:tcPr>
          <w:p>
            <w:pPr>
              <w:spacing w:after="20" w:line="247" w:lineRule="auto"/>
            </w:pPr>
            <w:r>
              <w:rPr>
                <w:rFonts w:ascii="Arial" w:hAnsi="Arial"/>
                <w:color w:val="111111"/>
                <w:sz w:val="17"/>
              </w:rPr>
              <w:t>Create employee profiles; assign departments, teams, line managers and access roles; invite staff to activate their accounts and complete onboarding steps.</w:t>
            </w:r>
          </w:p>
        </w:tc>
      </w:tr>
      <w:tr>
        <w:trPr>
          <w:cantSplit/>
        </w:trPr>
        <w:tc>
          <w:tcPr>
            <w:tcW w:type="dxa" w:w="2592"/>
            <w:vAlign w:val="center"/>
            <w:tcMar>
              <w:top w:w="105" w:type="dxa"/>
              <w:start w:w="125" w:type="dxa"/>
              <w:bottom w:w="105" w:type="dxa"/>
              <w:end w:w="125" w:type="dxa"/>
            </w:tcMar>
            <w:shd w:fill="F2F5F8"/>
          </w:tcPr>
          <w:p>
            <w:pPr>
              <w:spacing w:after="20" w:line="247" w:lineRule="auto"/>
            </w:pPr>
            <w:r>
              <w:rPr>
                <w:rFonts w:ascii="Arial" w:hAnsi="Arial"/>
                <w:b/>
                <w:color w:val="111111"/>
                <w:sz w:val="17"/>
              </w:rPr>
              <w:t>Leave, attendance and shifts</w:t>
            </w:r>
          </w:p>
        </w:tc>
        <w:tc>
          <w:tcPr>
            <w:tcW w:type="dxa" w:w="7128"/>
            <w:vAlign w:val="center"/>
            <w:tcMar>
              <w:top w:w="105" w:type="dxa"/>
              <w:start w:w="125" w:type="dxa"/>
              <w:bottom w:w="105" w:type="dxa"/>
              <w:end w:w="125" w:type="dxa"/>
            </w:tcMar>
            <w:shd w:fill="F2F5F8"/>
          </w:tcPr>
          <w:p>
            <w:pPr>
              <w:spacing w:after="20" w:line="247" w:lineRule="auto"/>
            </w:pPr>
            <w:r>
              <w:rPr>
                <w:rFonts w:ascii="Arial" w:hAnsi="Arial"/>
                <w:color w:val="111111"/>
                <w:sz w:val="17"/>
              </w:rPr>
              <w:t>Submit and review leave requests in the app, manage leave balances and schedules, and record attendance/time-clock entries and shift assignments where enabled.</w:t>
            </w:r>
          </w:p>
        </w:tc>
      </w:tr>
      <w:tr>
        <w:trPr>
          <w:cantSplit/>
        </w:trPr>
        <w:tc>
          <w:tcPr>
            <w:tcW w:type="dxa" w:w="2592"/>
            <w:vAlign w:val="center"/>
            <w:tcMar>
              <w:top w:w="105" w:type="dxa"/>
              <w:start w:w="125" w:type="dxa"/>
              <w:bottom w:w="105" w:type="dxa"/>
              <w:end w:w="125" w:type="dxa"/>
            </w:tcMar>
          </w:tcPr>
          <w:p>
            <w:pPr>
              <w:spacing w:after="20" w:line="247" w:lineRule="auto"/>
            </w:pPr>
            <w:r>
              <w:rPr>
                <w:rFonts w:ascii="Arial" w:hAnsi="Arial"/>
                <w:b/>
                <w:color w:val="111111"/>
                <w:sz w:val="17"/>
              </w:rPr>
              <w:t>Performance and appraisals</w:t>
            </w:r>
          </w:p>
        </w:tc>
        <w:tc>
          <w:tcPr>
            <w:tcW w:type="dxa" w:w="7128"/>
            <w:vAlign w:val="center"/>
            <w:tcMar>
              <w:top w:w="105" w:type="dxa"/>
              <w:start w:w="125" w:type="dxa"/>
              <w:bottom w:w="105" w:type="dxa"/>
              <w:end w:w="125" w:type="dxa"/>
            </w:tcMar>
          </w:tcPr>
          <w:p>
            <w:pPr>
              <w:spacing w:after="20" w:line="247" w:lineRule="auto"/>
            </w:pPr>
            <w:r>
              <w:rPr>
                <w:rFonts w:ascii="Arial" w:hAnsi="Arial"/>
                <w:color w:val="111111"/>
                <w:sz w:val="17"/>
              </w:rPr>
              <w:t>Set organization, team and employee KPIs; assign line managers; run employee self-assessments, manager reviews and 360 feedback; capture notes, recommendations, acceptance or disagreement, and performance-improvement plans.</w:t>
            </w:r>
          </w:p>
        </w:tc>
      </w:tr>
      <w:tr>
        <w:trPr>
          <w:cantSplit/>
        </w:trPr>
        <w:tc>
          <w:tcPr>
            <w:tcW w:type="dxa" w:w="2592"/>
            <w:vAlign w:val="center"/>
            <w:tcMar>
              <w:top w:w="105" w:type="dxa"/>
              <w:start w:w="125" w:type="dxa"/>
              <w:bottom w:w="105" w:type="dxa"/>
              <w:end w:w="125" w:type="dxa"/>
            </w:tcMar>
            <w:shd w:fill="F2F5F8"/>
          </w:tcPr>
          <w:p>
            <w:pPr>
              <w:spacing w:after="20" w:line="247" w:lineRule="auto"/>
            </w:pPr>
            <w:r>
              <w:rPr>
                <w:rFonts w:ascii="Arial" w:hAnsi="Arial"/>
                <w:b/>
                <w:color w:val="111111"/>
                <w:sz w:val="17"/>
              </w:rPr>
              <w:t>Goals and OKRs</w:t>
            </w:r>
          </w:p>
        </w:tc>
        <w:tc>
          <w:tcPr>
            <w:tcW w:type="dxa" w:w="7128"/>
            <w:vAlign w:val="center"/>
            <w:tcMar>
              <w:top w:w="105" w:type="dxa"/>
              <w:start w:w="125" w:type="dxa"/>
              <w:bottom w:w="105" w:type="dxa"/>
              <w:end w:w="125" w:type="dxa"/>
            </w:tcMar>
            <w:shd w:fill="F2F5F8"/>
          </w:tcPr>
          <w:p>
            <w:pPr>
              <w:spacing w:after="20" w:line="247" w:lineRule="auto"/>
            </w:pPr>
            <w:r>
              <w:rPr>
                <w:rFonts w:ascii="Arial" w:hAnsi="Arial"/>
                <w:color w:val="111111"/>
                <w:sz w:val="17"/>
              </w:rPr>
              <w:t>Create organization, department, team and individual goals with measurable key results and review progress.</w:t>
            </w:r>
          </w:p>
        </w:tc>
      </w:tr>
      <w:tr>
        <w:trPr>
          <w:cantSplit/>
        </w:trPr>
        <w:tc>
          <w:tcPr>
            <w:tcW w:type="dxa" w:w="2592"/>
            <w:vAlign w:val="center"/>
            <w:tcMar>
              <w:top w:w="105" w:type="dxa"/>
              <w:start w:w="125" w:type="dxa"/>
              <w:bottom w:w="105" w:type="dxa"/>
              <w:end w:w="125" w:type="dxa"/>
            </w:tcMar>
          </w:tcPr>
          <w:p>
            <w:pPr>
              <w:spacing w:after="20" w:line="247" w:lineRule="auto"/>
            </w:pPr>
            <w:r>
              <w:rPr>
                <w:rFonts w:ascii="Arial" w:hAnsi="Arial"/>
                <w:b/>
                <w:color w:val="111111"/>
                <w:sz w:val="17"/>
              </w:rPr>
              <w:t>Exit management</w:t>
            </w:r>
          </w:p>
        </w:tc>
        <w:tc>
          <w:tcPr>
            <w:tcW w:type="dxa" w:w="7128"/>
            <w:vAlign w:val="center"/>
            <w:tcMar>
              <w:top w:w="105" w:type="dxa"/>
              <w:start w:w="125" w:type="dxa"/>
              <w:bottom w:w="105" w:type="dxa"/>
              <w:end w:w="125" w:type="dxa"/>
            </w:tcMar>
          </w:tcPr>
          <w:p>
            <w:pPr>
              <w:spacing w:after="20" w:line="247" w:lineRule="auto"/>
            </w:pPr>
            <w:r>
              <w:rPr>
                <w:rFonts w:ascii="Arial" w:hAnsi="Arial"/>
                <w:color w:val="111111"/>
                <w:sz w:val="17"/>
              </w:rPr>
              <w:t>Allow authorized HR, administrators and employees to initiate a separation case. Route configured sign-off, coordinate handover, exit interview, finance clearance, asset return and access closure, then retain the case record.</w:t>
            </w:r>
          </w:p>
        </w:tc>
      </w:tr>
      <w:tr>
        <w:trPr>
          <w:cantSplit/>
        </w:trPr>
        <w:tc>
          <w:tcPr>
            <w:tcW w:type="dxa" w:w="2592"/>
            <w:vAlign w:val="center"/>
            <w:tcMar>
              <w:top w:w="105" w:type="dxa"/>
              <w:start w:w="125" w:type="dxa"/>
              <w:bottom w:w="105" w:type="dxa"/>
              <w:end w:w="125" w:type="dxa"/>
            </w:tcMar>
            <w:shd w:fill="F2F5F8"/>
          </w:tcPr>
          <w:p>
            <w:pPr>
              <w:spacing w:after="20" w:line="247" w:lineRule="auto"/>
            </w:pPr>
            <w:r>
              <w:rPr>
                <w:rFonts w:ascii="Arial" w:hAnsi="Arial"/>
                <w:b/>
                <w:color w:val="111111"/>
                <w:sz w:val="17"/>
              </w:rPr>
              <w:t>Payroll documentation</w:t>
            </w:r>
          </w:p>
        </w:tc>
        <w:tc>
          <w:tcPr>
            <w:tcW w:type="dxa" w:w="7128"/>
            <w:vAlign w:val="center"/>
            <w:tcMar>
              <w:top w:w="105" w:type="dxa"/>
              <w:start w:w="125" w:type="dxa"/>
              <w:bottom w:w="105" w:type="dxa"/>
              <w:end w:w="125" w:type="dxa"/>
            </w:tcMar>
            <w:shd w:fill="F2F5F8"/>
          </w:tcPr>
          <w:p>
            <w:pPr>
              <w:spacing w:after="20" w:line="247" w:lineRule="auto"/>
            </w:pPr>
            <w:r>
              <w:rPr>
                <w:rFonts w:ascii="Arial" w:hAnsi="Arial"/>
                <w:color w:val="111111"/>
                <w:sz w:val="17"/>
              </w:rPr>
              <w:t>Maintain remuneration, recurring earnings, deductions and employee bank details for record purposes; validate payroll runs, document pay periods and generate payslips. Payroll does not initiate bank transfers.</w:t>
            </w:r>
          </w:p>
        </w:tc>
      </w:tr>
      <w:tr>
        <w:trPr>
          <w:cantSplit/>
        </w:trPr>
        <w:tc>
          <w:tcPr>
            <w:tcW w:type="dxa" w:w="2592"/>
            <w:vAlign w:val="center"/>
            <w:tcMar>
              <w:top w:w="105" w:type="dxa"/>
              <w:start w:w="125" w:type="dxa"/>
              <w:bottom w:w="105" w:type="dxa"/>
              <w:end w:w="125" w:type="dxa"/>
            </w:tcMar>
          </w:tcPr>
          <w:p>
            <w:pPr>
              <w:spacing w:after="20" w:line="247" w:lineRule="auto"/>
            </w:pPr>
            <w:r>
              <w:rPr>
                <w:rFonts w:ascii="Arial" w:hAnsi="Arial"/>
                <w:b/>
                <w:color w:val="111111"/>
                <w:sz w:val="17"/>
              </w:rPr>
              <w:t>Expenses and financial requests</w:t>
            </w:r>
          </w:p>
        </w:tc>
        <w:tc>
          <w:tcPr>
            <w:tcW w:type="dxa" w:w="7128"/>
            <w:vAlign w:val="center"/>
            <w:tcMar>
              <w:top w:w="105" w:type="dxa"/>
              <w:start w:w="125" w:type="dxa"/>
              <w:bottom w:w="105" w:type="dxa"/>
              <w:end w:w="125" w:type="dxa"/>
            </w:tcMar>
          </w:tcPr>
          <w:p>
            <w:pPr>
              <w:spacing w:after="20" w:line="247" w:lineRule="auto"/>
            </w:pPr>
            <w:r>
              <w:rPr>
                <w:rFonts w:ascii="Arial" w:hAnsi="Arial"/>
                <w:color w:val="111111"/>
                <w:sz w:val="17"/>
              </w:rPr>
              <w:t>Submit expense claims and receipts; request operational or financial approvals; review evidence, return submissions for edits with notes, record decisions and notify requesters and approvers.</w:t>
            </w:r>
          </w:p>
        </w:tc>
      </w:tr>
      <w:tr>
        <w:trPr>
          <w:cantSplit/>
        </w:trPr>
        <w:tc>
          <w:tcPr>
            <w:tcW w:type="dxa" w:w="2592"/>
            <w:vAlign w:val="center"/>
            <w:tcMar>
              <w:top w:w="105" w:type="dxa"/>
              <w:start w:w="125" w:type="dxa"/>
              <w:bottom w:w="105" w:type="dxa"/>
              <w:end w:w="125" w:type="dxa"/>
            </w:tcMar>
            <w:shd w:fill="F2F5F8"/>
          </w:tcPr>
          <w:p>
            <w:pPr>
              <w:spacing w:after="20" w:line="247" w:lineRule="auto"/>
            </w:pPr>
            <w:r>
              <w:rPr>
                <w:rFonts w:ascii="Arial" w:hAnsi="Arial"/>
                <w:b/>
                <w:color w:val="111111"/>
                <w:sz w:val="17"/>
              </w:rPr>
              <w:t>Budgets and purchasing</w:t>
            </w:r>
          </w:p>
        </w:tc>
        <w:tc>
          <w:tcPr>
            <w:tcW w:type="dxa" w:w="7128"/>
            <w:vAlign w:val="center"/>
            <w:tcMar>
              <w:top w:w="105" w:type="dxa"/>
              <w:start w:w="125" w:type="dxa"/>
              <w:bottom w:w="105" w:type="dxa"/>
              <w:end w:w="125" w:type="dxa"/>
            </w:tcMar>
            <w:shd w:fill="F2F5F8"/>
          </w:tcPr>
          <w:p>
            <w:pPr>
              <w:spacing w:after="20" w:line="247" w:lineRule="auto"/>
            </w:pPr>
            <w:r>
              <w:rPr>
                <w:rFonts w:ascii="Arial" w:hAnsi="Arial"/>
                <w:color w:val="111111"/>
                <w:sz w:val="17"/>
              </w:rPr>
              <w:t>Maintain budgets and reservations; submit purchase requests; compare supplier quotes; create purchase orders; record receipt and invoice matching; retain approval and audit history.</w:t>
            </w:r>
          </w:p>
        </w:tc>
      </w:tr>
      <w:tr>
        <w:trPr>
          <w:cantSplit/>
        </w:trPr>
        <w:tc>
          <w:tcPr>
            <w:tcW w:type="dxa" w:w="2592"/>
            <w:vAlign w:val="center"/>
            <w:tcMar>
              <w:top w:w="105" w:type="dxa"/>
              <w:start w:w="125" w:type="dxa"/>
              <w:bottom w:w="105" w:type="dxa"/>
              <w:end w:w="125" w:type="dxa"/>
            </w:tcMar>
          </w:tcPr>
          <w:p>
            <w:pPr>
              <w:spacing w:after="20" w:line="247" w:lineRule="auto"/>
            </w:pPr>
            <w:r>
              <w:rPr>
                <w:rFonts w:ascii="Arial" w:hAnsi="Arial"/>
                <w:b/>
                <w:color w:val="111111"/>
                <w:sz w:val="17"/>
              </w:rPr>
              <w:t>Projects and portfolios</w:t>
            </w:r>
          </w:p>
        </w:tc>
        <w:tc>
          <w:tcPr>
            <w:tcW w:type="dxa" w:w="7128"/>
            <w:vAlign w:val="center"/>
            <w:tcMar>
              <w:top w:w="105" w:type="dxa"/>
              <w:start w:w="125" w:type="dxa"/>
              <w:bottom w:w="105" w:type="dxa"/>
              <w:end w:w="125" w:type="dxa"/>
            </w:tcMar>
          </w:tcPr>
          <w:p>
            <w:pPr>
              <w:spacing w:after="20" w:line="247" w:lineRule="auto"/>
            </w:pPr>
            <w:r>
              <w:rPr>
                <w:rFonts w:ascii="Arial" w:hAnsi="Arial"/>
                <w:color w:val="111111"/>
                <w:sz w:val="17"/>
              </w:rPr>
              <w:t>Create and track projects, phases, milestones, dependencies, risks, issues, change requests, meetings, templates, budgets, timesheets and client read-only update links, subject to enabled entitlements.</w:t>
            </w:r>
          </w:p>
        </w:tc>
      </w:tr>
      <w:tr>
        <w:trPr>
          <w:cantSplit/>
        </w:trPr>
        <w:tc>
          <w:tcPr>
            <w:tcW w:type="dxa" w:w="2592"/>
            <w:vAlign w:val="center"/>
            <w:tcMar>
              <w:top w:w="105" w:type="dxa"/>
              <w:start w:w="125" w:type="dxa"/>
              <w:bottom w:w="105" w:type="dxa"/>
              <w:end w:w="125" w:type="dxa"/>
            </w:tcMar>
            <w:shd w:fill="F2F5F8"/>
          </w:tcPr>
          <w:p>
            <w:pPr>
              <w:spacing w:after="20" w:line="247" w:lineRule="auto"/>
            </w:pPr>
            <w:r>
              <w:rPr>
                <w:rFonts w:ascii="Arial" w:hAnsi="Arial"/>
                <w:b/>
                <w:color w:val="111111"/>
                <w:sz w:val="17"/>
              </w:rPr>
              <w:t>Tasks and workflow automation</w:t>
            </w:r>
          </w:p>
        </w:tc>
        <w:tc>
          <w:tcPr>
            <w:tcW w:type="dxa" w:w="7128"/>
            <w:vAlign w:val="center"/>
            <w:tcMar>
              <w:top w:w="105" w:type="dxa"/>
              <w:start w:w="125" w:type="dxa"/>
              <w:bottom w:w="105" w:type="dxa"/>
              <w:end w:w="125" w:type="dxa"/>
            </w:tcMar>
            <w:shd w:fill="F2F5F8"/>
          </w:tcPr>
          <w:p>
            <w:pPr>
              <w:spacing w:after="20" w:line="247" w:lineRule="auto"/>
            </w:pPr>
            <w:r>
              <w:rPr>
                <w:rFonts w:ascii="Arial" w:hAnsi="Arial"/>
                <w:color w:val="111111"/>
                <w:sz w:val="17"/>
              </w:rPr>
              <w:t>Assign tasks, owners and due dates; track status and progress; use reusable onboarding, offboarding and task templates; configure approval SLAs, reminders and escalation rules.</w:t>
            </w:r>
          </w:p>
        </w:tc>
      </w:tr>
      <w:tr>
        <w:trPr>
          <w:cantSplit/>
        </w:trPr>
        <w:tc>
          <w:tcPr>
            <w:tcW w:type="dxa" w:w="2592"/>
            <w:vAlign w:val="center"/>
            <w:tcMar>
              <w:top w:w="105" w:type="dxa"/>
              <w:start w:w="125" w:type="dxa"/>
              <w:bottom w:w="105" w:type="dxa"/>
              <w:end w:w="125" w:type="dxa"/>
            </w:tcMar>
          </w:tcPr>
          <w:p>
            <w:pPr>
              <w:spacing w:after="20" w:line="247" w:lineRule="auto"/>
            </w:pPr>
            <w:r>
              <w:rPr>
                <w:rFonts w:ascii="Arial" w:hAnsi="Arial"/>
                <w:b/>
                <w:color w:val="111111"/>
                <w:sz w:val="17"/>
              </w:rPr>
              <w:t>Calendar</w:t>
            </w:r>
          </w:p>
        </w:tc>
        <w:tc>
          <w:tcPr>
            <w:tcW w:type="dxa" w:w="7128"/>
            <w:vAlign w:val="center"/>
            <w:tcMar>
              <w:top w:w="105" w:type="dxa"/>
              <w:start w:w="125" w:type="dxa"/>
              <w:bottom w:w="105" w:type="dxa"/>
              <w:end w:w="125" w:type="dxa"/>
            </w:tcMar>
          </w:tcPr>
          <w:p>
            <w:pPr>
              <w:spacing w:after="20" w:line="247" w:lineRule="auto"/>
            </w:pPr>
            <w:r>
              <w:rPr>
                <w:rFonts w:ascii="Arial" w:hAnsi="Arial"/>
                <w:color w:val="111111"/>
                <w:sz w:val="17"/>
              </w:rPr>
              <w:t>View in-app meetings, leave and other organization events. Google and Microsoft calendar connections require provider credentials, tenant authorization and production validation.</w:t>
            </w:r>
          </w:p>
        </w:tc>
      </w:tr>
      <w:tr>
        <w:trPr>
          <w:cantSplit/>
        </w:trPr>
        <w:tc>
          <w:tcPr>
            <w:tcW w:type="dxa" w:w="2592"/>
            <w:vAlign w:val="center"/>
            <w:tcMar>
              <w:top w:w="105" w:type="dxa"/>
              <w:start w:w="125" w:type="dxa"/>
              <w:bottom w:w="105" w:type="dxa"/>
              <w:end w:w="125" w:type="dxa"/>
            </w:tcMar>
            <w:shd w:fill="F2F5F8"/>
          </w:tcPr>
          <w:p>
            <w:pPr>
              <w:spacing w:after="20" w:line="247" w:lineRule="auto"/>
            </w:pPr>
            <w:r>
              <w:rPr>
                <w:rFonts w:ascii="Arial" w:hAnsi="Arial"/>
                <w:b/>
                <w:color w:val="111111"/>
                <w:sz w:val="17"/>
              </w:rPr>
              <w:t>Fleet and dispatch</w:t>
            </w:r>
          </w:p>
        </w:tc>
        <w:tc>
          <w:tcPr>
            <w:tcW w:type="dxa" w:w="7128"/>
            <w:vAlign w:val="center"/>
            <w:tcMar>
              <w:top w:w="105" w:type="dxa"/>
              <w:start w:w="125" w:type="dxa"/>
              <w:bottom w:w="105" w:type="dxa"/>
              <w:end w:w="125" w:type="dxa"/>
            </w:tcMar>
            <w:shd w:fill="F2F5F8"/>
          </w:tcPr>
          <w:p>
            <w:pPr>
              <w:spacing w:after="20" w:line="247" w:lineRule="auto"/>
            </w:pPr>
            <w:r>
              <w:rPr>
                <w:rFonts w:ascii="Arial" w:hAnsi="Arial"/>
                <w:color w:val="111111"/>
                <w:sz w:val="17"/>
              </w:rPr>
              <w:t>Maintain vehicle and driver records; schedule and track trips; record fuel, odometer readings, maintenance and incidents; review active-trip and incident status.</w:t>
            </w:r>
          </w:p>
        </w:tc>
      </w:tr>
      <w:tr>
        <w:trPr>
          <w:cantSplit/>
        </w:trPr>
        <w:tc>
          <w:tcPr>
            <w:tcW w:type="dxa" w:w="2592"/>
            <w:vAlign w:val="center"/>
            <w:tcMar>
              <w:top w:w="105" w:type="dxa"/>
              <w:start w:w="125" w:type="dxa"/>
              <w:bottom w:w="105" w:type="dxa"/>
              <w:end w:w="125" w:type="dxa"/>
            </w:tcMar>
          </w:tcPr>
          <w:p>
            <w:pPr>
              <w:spacing w:after="20" w:line="247" w:lineRule="auto"/>
            </w:pPr>
            <w:r>
              <w:rPr>
                <w:rFonts w:ascii="Arial" w:hAnsi="Arial"/>
                <w:b/>
                <w:color w:val="111111"/>
                <w:sz w:val="17"/>
              </w:rPr>
              <w:t>Assets, vendors and helpdesk</w:t>
            </w:r>
          </w:p>
        </w:tc>
        <w:tc>
          <w:tcPr>
            <w:tcW w:type="dxa" w:w="7128"/>
            <w:vAlign w:val="center"/>
            <w:tcMar>
              <w:top w:w="105" w:type="dxa"/>
              <w:start w:w="125" w:type="dxa"/>
              <w:bottom w:w="105" w:type="dxa"/>
              <w:end w:w="125" w:type="dxa"/>
            </w:tcMar>
          </w:tcPr>
          <w:p>
            <w:pPr>
              <w:spacing w:after="20" w:line="247" w:lineRule="auto"/>
            </w:pPr>
            <w:r>
              <w:rPr>
                <w:rFonts w:ascii="Arial" w:hAnsi="Arial"/>
                <w:color w:val="111111"/>
                <w:sz w:val="17"/>
              </w:rPr>
              <w:t>Maintain asset lifecycle and ownership records, supplier details and contract information, and internal support tickets with category, priority, assignment and status.</w:t>
            </w:r>
          </w:p>
        </w:tc>
      </w:tr>
      <w:tr>
        <w:trPr>
          <w:cantSplit/>
        </w:trPr>
        <w:tc>
          <w:tcPr>
            <w:tcW w:type="dxa" w:w="2592"/>
            <w:vAlign w:val="center"/>
            <w:tcMar>
              <w:top w:w="105" w:type="dxa"/>
              <w:start w:w="125" w:type="dxa"/>
              <w:bottom w:w="105" w:type="dxa"/>
              <w:end w:w="125" w:type="dxa"/>
            </w:tcMar>
            <w:shd w:fill="F2F5F8"/>
          </w:tcPr>
          <w:p>
            <w:pPr>
              <w:spacing w:after="20" w:line="247" w:lineRule="auto"/>
            </w:pPr>
            <w:r>
              <w:rPr>
                <w:rFonts w:ascii="Arial" w:hAnsi="Arial"/>
                <w:b/>
                <w:color w:val="111111"/>
                <w:sz w:val="17"/>
              </w:rPr>
              <w:t>CRM and customer pipeline</w:t>
            </w:r>
          </w:p>
        </w:tc>
        <w:tc>
          <w:tcPr>
            <w:tcW w:type="dxa" w:w="7128"/>
            <w:vAlign w:val="center"/>
            <w:tcMar>
              <w:top w:w="105" w:type="dxa"/>
              <w:start w:w="125" w:type="dxa"/>
              <w:bottom w:w="105" w:type="dxa"/>
              <w:end w:w="125" w:type="dxa"/>
            </w:tcMar>
            <w:shd w:fill="F2F5F8"/>
          </w:tcPr>
          <w:p>
            <w:pPr>
              <w:spacing w:after="20" w:line="247" w:lineRule="auto"/>
            </w:pPr>
            <w:r>
              <w:rPr>
                <w:rFonts w:ascii="Arial" w:hAnsi="Arial"/>
                <w:color w:val="111111"/>
                <w:sz w:val="17"/>
              </w:rPr>
              <w:t>Maintain customer, lead and opportunity records, sales stages and activity follow-up; access pipeline views, quotes and reporting where enabled.</w:t>
            </w:r>
          </w:p>
        </w:tc>
      </w:tr>
      <w:tr>
        <w:trPr>
          <w:cantSplit/>
        </w:trPr>
        <w:tc>
          <w:tcPr>
            <w:tcW w:type="dxa" w:w="2592"/>
            <w:vAlign w:val="center"/>
            <w:tcMar>
              <w:top w:w="105" w:type="dxa"/>
              <w:start w:w="125" w:type="dxa"/>
              <w:bottom w:w="105" w:type="dxa"/>
              <w:end w:w="125" w:type="dxa"/>
            </w:tcMar>
          </w:tcPr>
          <w:p>
            <w:pPr>
              <w:spacing w:after="20" w:line="247" w:lineRule="auto"/>
            </w:pPr>
            <w:r>
              <w:rPr>
                <w:rFonts w:ascii="Arial" w:hAnsi="Arial"/>
                <w:b/>
                <w:color w:val="111111"/>
                <w:sz w:val="17"/>
              </w:rPr>
              <w:t>Zyntris Collect</w:t>
            </w:r>
          </w:p>
        </w:tc>
        <w:tc>
          <w:tcPr>
            <w:tcW w:type="dxa" w:w="7128"/>
            <w:vAlign w:val="center"/>
            <w:tcMar>
              <w:top w:w="105" w:type="dxa"/>
              <w:start w:w="125" w:type="dxa"/>
              <w:bottom w:w="105" w:type="dxa"/>
              <w:end w:w="125" w:type="dxa"/>
            </w:tcMar>
          </w:tcPr>
          <w:p>
            <w:pPr>
              <w:spacing w:after="20" w:line="247" w:lineRule="auto"/>
            </w:pPr>
            <w:r>
              <w:rPr>
                <w:rFonts w:ascii="Arial" w:hAnsi="Arial"/>
                <w:color w:val="111111"/>
                <w:sz w:val="17"/>
              </w:rPr>
              <w:t>Track receivables and ageing; create invoices; manage collection actions, promises and disputes; record payments already received; import bank-statement CSV rows and review exact-match reconciliation suggestions.</w:t>
            </w:r>
          </w:p>
        </w:tc>
      </w:tr>
      <w:tr>
        <w:trPr>
          <w:cantSplit/>
        </w:trPr>
        <w:tc>
          <w:tcPr>
            <w:tcW w:type="dxa" w:w="2592"/>
            <w:vAlign w:val="center"/>
            <w:tcMar>
              <w:top w:w="105" w:type="dxa"/>
              <w:start w:w="125" w:type="dxa"/>
              <w:bottom w:w="105" w:type="dxa"/>
              <w:end w:w="125" w:type="dxa"/>
            </w:tcMar>
            <w:shd w:fill="F2F5F8"/>
          </w:tcPr>
          <w:p>
            <w:pPr>
              <w:spacing w:after="20" w:line="247" w:lineRule="auto"/>
            </w:pPr>
            <w:r>
              <w:rPr>
                <w:rFonts w:ascii="Arial" w:hAnsi="Arial"/>
                <w:b/>
                <w:color w:val="111111"/>
                <w:sz w:val="17"/>
              </w:rPr>
              <w:t>Reports and exports</w:t>
            </w:r>
          </w:p>
        </w:tc>
        <w:tc>
          <w:tcPr>
            <w:tcW w:type="dxa" w:w="7128"/>
            <w:vAlign w:val="center"/>
            <w:tcMar>
              <w:top w:w="105" w:type="dxa"/>
              <w:start w:w="125" w:type="dxa"/>
              <w:bottom w:w="105" w:type="dxa"/>
              <w:end w:w="125" w:type="dxa"/>
            </w:tcMar>
            <w:shd w:fill="F2F5F8"/>
          </w:tcPr>
          <w:p>
            <w:pPr>
              <w:spacing w:after="20" w:line="247" w:lineRule="auto"/>
            </w:pPr>
            <w:r>
              <w:rPr>
                <w:rFonts w:ascii="Arial" w:hAnsi="Arial"/>
                <w:color w:val="111111"/>
                <w:sz w:val="17"/>
              </w:rPr>
              <w:t>Review role-authorized summaries across HR, expenses, approvals, tasks, projects, purchasing, CRM and fleet; filter reporting periods and export available data to CSV.</w:t>
            </w:r>
          </w:p>
        </w:tc>
      </w:tr>
      <w:tr>
        <w:trPr>
          <w:cantSplit/>
        </w:trPr>
        <w:tc>
          <w:tcPr>
            <w:tcW w:type="dxa" w:w="2592"/>
            <w:vAlign w:val="center"/>
            <w:tcMar>
              <w:top w:w="105" w:type="dxa"/>
              <w:start w:w="125" w:type="dxa"/>
              <w:bottom w:w="105" w:type="dxa"/>
              <w:end w:w="125" w:type="dxa"/>
            </w:tcMar>
          </w:tcPr>
          <w:p>
            <w:pPr>
              <w:spacing w:after="20" w:line="247" w:lineRule="auto"/>
            </w:pPr>
            <w:r>
              <w:rPr>
                <w:rFonts w:ascii="Arial" w:hAnsi="Arial"/>
                <w:b/>
                <w:color w:val="111111"/>
                <w:sz w:val="17"/>
              </w:rPr>
              <w:t>Documents and audit history</w:t>
            </w:r>
          </w:p>
        </w:tc>
        <w:tc>
          <w:tcPr>
            <w:tcW w:type="dxa" w:w="7128"/>
            <w:vAlign w:val="center"/>
            <w:tcMar>
              <w:top w:w="105" w:type="dxa"/>
              <w:start w:w="125" w:type="dxa"/>
              <w:bottom w:w="105" w:type="dxa"/>
              <w:end w:w="125" w:type="dxa"/>
            </w:tcMar>
          </w:tcPr>
          <w:p>
            <w:pPr>
              <w:spacing w:after="20" w:line="247" w:lineRule="auto"/>
            </w:pPr>
            <w:r>
              <w:rPr>
                <w:rFonts w:ascii="Arial" w:hAnsi="Arial"/>
                <w:color w:val="111111"/>
                <w:sz w:val="17"/>
              </w:rPr>
              <w:t>Store organization files in private tenant-scoped paths and retain audit events for key administrative and financial actions.</w:t>
            </w:r>
          </w:p>
        </w:tc>
      </w:tr>
      <w:tr>
        <w:trPr>
          <w:cantSplit/>
        </w:trPr>
        <w:tc>
          <w:tcPr>
            <w:tcW w:type="dxa" w:w="2592"/>
            <w:vAlign w:val="center"/>
            <w:tcMar>
              <w:top w:w="105" w:type="dxa"/>
              <w:start w:w="125" w:type="dxa"/>
              <w:bottom w:w="105" w:type="dxa"/>
              <w:end w:w="125" w:type="dxa"/>
            </w:tcMar>
            <w:shd w:fill="F2F5F8"/>
          </w:tcPr>
          <w:p>
            <w:pPr>
              <w:spacing w:after="20" w:line="247" w:lineRule="auto"/>
            </w:pPr>
            <w:r>
              <w:rPr>
                <w:rFonts w:ascii="Arial" w:hAnsi="Arial"/>
                <w:b/>
                <w:color w:val="111111"/>
                <w:sz w:val="17"/>
              </w:rPr>
              <w:t>Platform administration</w:t>
            </w:r>
          </w:p>
        </w:tc>
        <w:tc>
          <w:tcPr>
            <w:tcW w:type="dxa" w:w="7128"/>
            <w:vAlign w:val="center"/>
            <w:tcMar>
              <w:top w:w="105" w:type="dxa"/>
              <w:start w:w="125" w:type="dxa"/>
              <w:bottom w:w="105" w:type="dxa"/>
              <w:end w:w="125" w:type="dxa"/>
            </w:tcMar>
            <w:shd w:fill="F2F5F8"/>
          </w:tcPr>
          <w:p>
            <w:pPr>
              <w:spacing w:after="20" w:line="247" w:lineRule="auto"/>
            </w:pPr>
            <w:r>
              <w:rPr>
                <w:rFonts w:ascii="Arial" w:hAnsi="Arial"/>
                <w:color w:val="111111"/>
                <w:sz w:val="17"/>
              </w:rPr>
              <w:t>Authorized Zyntris platform administrators can view tenants, activate tenant access and entitled services, and perform platform maintenance actions.</w:t>
            </w:r>
          </w:p>
        </w:tc>
      </w:tr>
    </w:tbl>
    <w:p>
      <w:pPr>
        <w:spacing w:after="20"/>
      </w:pPr>
    </w:p>
    <w:p>
      <w:r>
        <w:br w:type="page"/>
      </w:r>
    </w:p>
    <w:p>
      <w:pPr>
        <w:pStyle w:val="Heading1"/>
      </w:pPr>
      <w:r>
        <w:t>How the workflows operate</w:t>
      </w:r>
    </w:p>
    <w:p>
      <w:pPr>
        <w:pStyle w:val="Heading2"/>
      </w:pPr>
      <w:r>
        <w:t>Employee onboarding</w:t>
      </w:r>
    </w:p>
    <w:p>
      <w:r>
        <w:t>An authorized HR administrator creates the employee record, assigns department, team, line manager and access level, then sends an invitation. The employee activates their account through the invitation link and completes the required onboarding information. Access is controlled by the employee’s organization membership and role permissions.</w:t>
      </w:r>
    </w:p>
    <w:p>
      <w:pPr>
        <w:pStyle w:val="Heading2"/>
      </w:pPr>
      <w:r>
        <w:t>Financial request and expense approval</w:t>
      </w:r>
    </w:p>
    <w:p>
      <w:r>
        <w:t>TTA may configure its request categories, documentation rules, approval limits and escalation times. Financial requests route to the CEO first. If the CEO is unavailable, the configured HR approver is the second level. Approvers can approve, decline or return a request for edits with a note. The requester receives the outcome through the app and email where delivery settings are configured; decisions remain in the request history.</w:t>
      </w:r>
    </w:p>
    <w:p>
      <w:pPr>
        <w:pStyle w:val="Heading2"/>
      </w:pPr>
      <w:r>
        <w:t>Leave and attendance</w:t>
      </w:r>
    </w:p>
    <w:p>
      <w:r>
        <w:t>Employees submit leave requests within the application. Managers or HR review requests according to TTA’s configured rules. Attendance and shift records can support time and workforce review; statutory, overtime and local policy rules must be approved by TTA before operational use.</w:t>
      </w:r>
    </w:p>
    <w:p>
      <w:pPr>
        <w:pStyle w:val="Heading2"/>
      </w:pPr>
      <w:r>
        <w:t>Performance review</w:t>
      </w:r>
    </w:p>
    <w:p>
      <w:r>
        <w:t>HR defines the review cycle and KPI library. Team and employee goals are assigned with line managers. Employees complete self-assessments, managers add their review, and invited reviewers contribute 360 feedback. The review can include notes, recommendations, employee response and a linked improvement plan with checkpoints.</w:t>
      </w:r>
    </w:p>
    <w:p>
      <w:pPr>
        <w:pStyle w:val="Heading2"/>
      </w:pPr>
      <w:r>
        <w:t>Payroll preparation</w:t>
      </w:r>
    </w:p>
    <w:p>
      <w:r>
        <w:t>HR profiles remuneration and deductions and prepares a draft run. Preflight checks flag issues such as invalid pay periods, duplicate or missing employee inputs, unusual deductions and negative net pay. Authorized reviewers approve the record and payslips are generated for employees. The system documents remuneration; it does not send funds to banks. TTA remains responsible for setting and professionally validating statutory rates and payroll policy.</w:t>
      </w:r>
    </w:p>
    <w:p>
      <w:pPr>
        <w:pStyle w:val="Heading2"/>
      </w:pPr>
      <w:r>
        <w:t>Employee separation</w:t>
      </w:r>
    </w:p>
    <w:p>
      <w:r>
        <w:t>An employee, HR administrator or organization administrator can initiate an exit case, subject to permissions and configured approval. The case tracks handover, interview, financial clearance, company-property return and access closure. HR completes the case after required tasks, sign-offs and records are addressed.</w:t>
      </w:r>
    </w:p>
    <w:p>
      <w:pPr>
        <w:pStyle w:val="Heading2"/>
      </w:pPr>
      <w:r>
        <w:t>Transport operations</w:t>
      </w:r>
    </w:p>
    <w:p>
      <w:r>
        <w:t>Transport managers can register vehicles, assign drivers, schedule trips, record fuel and odometer readings, plan maintenance and document incidents. This supports internal fleet administration. Live shipment tracking, GPS/telematics, route optimization, carrier connections and freight execution are outside the current module scope.</w:t>
      </w:r>
    </w:p>
    <w:p>
      <w:pPr>
        <w:pStyle w:val="Heading2"/>
      </w:pPr>
      <w:r>
        <w:t>Receivables and reconciliation</w:t>
      </w:r>
    </w:p>
    <w:p>
      <w:r>
        <w:t>Finance can create invoices and monitor balances, ageing, collection activity, promises to pay and disputes. Staff can record funds received and import statement rows for matching. Candidate matches are not applied automatically; a finance user confirms exact amount and currency matches. Collect does not currently initiate customer payments or bank transfers.</w:t>
      </w:r>
    </w:p>
    <w:p>
      <w:pPr>
        <w:pStyle w:val="Heading1"/>
      </w:pPr>
      <w:r>
        <w:t>Administration, privacy and security</w:t>
      </w:r>
    </w:p>
    <w:p>
      <w:r>
        <w:t>Each organization operates within its own tenant context. The Worker derives the organization from the signed-in membership and applies tenant scope to business queries. Role permissions restrict access to sensitive HR, payroll, finance and administrative functions. Browser sessions use secure, HTTP-only cookies; password hashes use Argon2id with server-side peppering; privileged access can require authenticator-based multi-factor authentication. Key changes are recorded in an audit trail.</w:t>
      </w:r>
    </w:p>
    <w:p>
      <w:r>
        <w:t>Uploaded files use private R2 storage with tenant-scoped object paths. Payroll bank details are stored for record purposes and are excluded from payslip and payroll-register exports. TTA and Zyntris should agree data retention, administrator ownership, incident contacts, access review and support procedures in the implementation agreement.</w:t>
      </w:r>
    </w:p>
    <w:p>
      <w:pPr>
        <w:pStyle w:val="Heading2"/>
      </w:pPr>
      <w:r>
        <w:t>Backup and recovery status</w:t>
      </w:r>
    </w:p>
    <w:p>
      <w:r>
        <w:t>The application supports scheduled tenant snapshots and non-destructive merge recovery. Independent cross-account backup configuration and a completed restore drill against a dedicated test tenant must be verified before live TTA data is treated as protected by an independently tested recovery process.</w:t>
      </w:r>
    </w:p>
    <w:p>
      <w:pPr>
        <w:pStyle w:val="Heading2"/>
      </w:pPr>
      <w:r>
        <w:t>Product boundaries and integrations</w:t>
      </w:r>
    </w:p>
    <w:p>
      <w:pPr>
        <w:pStyle w:val="ListBullet"/>
      </w:pPr>
      <w:r>
        <w:t>The platform does not initiate payroll bank transfers or customer payments.</w:t>
      </w:r>
    </w:p>
    <w:p>
      <w:pPr>
        <w:pStyle w:val="ListBullet"/>
      </w:pPr>
      <w:r>
        <w:t>Google and Microsoft calendar synchronization requires production OAuth credentials, tenant consent and end-to-end testing.</w:t>
      </w:r>
    </w:p>
    <w:p>
      <w:pPr>
        <w:pStyle w:val="ListBullet"/>
      </w:pPr>
      <w:r>
        <w:t>The mobile application is separate from the web deployment. App-store publishing and operating-system push notifications require Apple, Google and Expo/EAS release credentials and approval.</w:t>
      </w:r>
    </w:p>
    <w:p>
      <w:pPr>
        <w:pStyle w:val="ListBullet"/>
      </w:pPr>
      <w:r>
        <w:t>Zyntris Collect supports accounting records and manual reconciliation workflows; processor webhooks, payment links, refunds, customer self-service portals and automated invoice email/PDF delivery require further integration work.</w:t>
      </w:r>
    </w:p>
    <w:p>
      <w:pPr>
        <w:pStyle w:val="ListBullet"/>
      </w:pPr>
      <w:r>
        <w:t>TTA supplies and validates payroll statutory rates, tax settings, approval policy, employee records and legal invoice requirements for the jurisdictions in which it operates.</w:t>
      </w:r>
    </w:p>
    <w:p>
      <w:pPr>
        <w:pStyle w:val="ListBullet"/>
      </w:pPr>
      <w:r>
        <w:t>The compliance flow is excluded from this proposal.</w:t>
      </w:r>
    </w:p>
    <w:p>
      <w:r>
        <w:t>No external security certification, guaranteed savings percentage, or live provider integration is represented in this proposal.</w:t>
      </w:r>
    </w:p>
    <w:p>
      <w:pPr>
        <w:pStyle w:val="Heading1"/>
      </w:pPr>
      <w:r>
        <w:t>Companywide implementation</w:t>
      </w:r>
    </w:p>
    <w:p>
      <w:r>
        <w:t>We propose an initial four-to-six-week implementation window, subject to stakeholder availability, data readiness and the final integration scope. The work proceeds directly toward companywide rollout after configuration and user acceptance. There is no pilot phase.</w:t>
      </w:r>
    </w:p>
    <w:tbl>
      <w:tblPr>
        <w:tblW w:type="auto" w:w="0"/>
        <w:jc w:val="center"/>
        <w:tblLayout w:type="fixed"/>
        <w:tblLook w:firstColumn="1" w:firstRow="1" w:lastColumn="0" w:lastRow="0" w:noHBand="0" w:noVBand="1" w:val="04A0"/>
        <w:tblBorders>
          <w:top w:val="single" w:sz="5" w:space="0" w:color="D6DEE7"/>
          <w:left w:val="single" w:sz="5" w:space="0" w:color="D6DEE7"/>
          <w:bottom w:val="single" w:sz="5" w:space="0" w:color="D6DEE7"/>
          <w:right w:val="single" w:sz="5" w:space="0" w:color="D6DEE7"/>
          <w:insideH w:val="single" w:sz="5" w:space="0" w:color="D6DEE7"/>
          <w:insideV w:val="single" w:sz="5" w:space="0" w:color="D6DEE7"/>
        </w:tblBorders>
      </w:tblPr>
      <w:tblGrid>
        <w:gridCol w:w="4997"/>
        <w:gridCol w:w="4997"/>
      </w:tblGrid>
      <w:tr>
        <w:trPr>
          <w:tblHeader w:val="true"/>
        </w:trPr>
        <w:tc>
          <w:tcPr>
            <w:tcW w:type="dxa" w:w="2376"/>
            <w:shd w:fill="102B46"/>
            <w:vAlign w:val="center"/>
            <w:tcMar>
              <w:top w:w="105" w:type="dxa"/>
              <w:start w:w="125" w:type="dxa"/>
              <w:bottom w:w="105" w:type="dxa"/>
              <w:end w:w="125" w:type="dxa"/>
            </w:tcMar>
          </w:tcPr>
          <w:p>
            <w:r>
              <w:rPr>
                <w:rFonts w:ascii="Arial" w:hAnsi="Arial"/>
                <w:b/>
                <w:color w:val="FFFFFF"/>
                <w:sz w:val="18"/>
              </w:rPr>
              <w:t>Work stage</w:t>
            </w:r>
          </w:p>
        </w:tc>
        <w:tc>
          <w:tcPr>
            <w:tcW w:type="dxa" w:w="7344"/>
            <w:shd w:fill="102B46"/>
            <w:vAlign w:val="center"/>
            <w:tcMar>
              <w:top w:w="105" w:type="dxa"/>
              <w:start w:w="125" w:type="dxa"/>
              <w:bottom w:w="105" w:type="dxa"/>
              <w:end w:w="125" w:type="dxa"/>
            </w:tcMar>
          </w:tcPr>
          <w:p>
            <w:r>
              <w:rPr>
                <w:rFonts w:ascii="Arial" w:hAnsi="Arial"/>
                <w:b/>
                <w:color w:val="FFFFFF"/>
                <w:sz w:val="18"/>
              </w:rPr>
              <w:t>Activities and acceptance result</w:t>
            </w:r>
          </w:p>
        </w:tc>
      </w:tr>
      <w:tr>
        <w:trPr>
          <w:cantSplit/>
        </w:trPr>
        <w:tc>
          <w:tcPr>
            <w:tcW w:type="dxa" w:w="2376"/>
            <w:vAlign w:val="center"/>
            <w:tcMar>
              <w:top w:w="105" w:type="dxa"/>
              <w:start w:w="125" w:type="dxa"/>
              <w:bottom w:w="105" w:type="dxa"/>
              <w:end w:w="125" w:type="dxa"/>
            </w:tcMar>
          </w:tcPr>
          <w:p>
            <w:pPr>
              <w:spacing w:after="20" w:line="247" w:lineRule="auto"/>
            </w:pPr>
            <w:r>
              <w:rPr>
                <w:rFonts w:ascii="Arial" w:hAnsi="Arial"/>
                <w:b/>
                <w:color w:val="111111"/>
                <w:sz w:val="18"/>
              </w:rPr>
              <w:t>Discover and design</w:t>
            </w:r>
          </w:p>
        </w:tc>
        <w:tc>
          <w:tcPr>
            <w:tcW w:type="dxa" w:w="7344"/>
            <w:vAlign w:val="center"/>
            <w:tcMar>
              <w:top w:w="105" w:type="dxa"/>
              <w:start w:w="125" w:type="dxa"/>
              <w:bottom w:w="105" w:type="dxa"/>
              <w:end w:w="125" w:type="dxa"/>
            </w:tcMar>
          </w:tcPr>
          <w:p>
            <w:pPr>
              <w:spacing w:after="20" w:line="247" w:lineRule="auto"/>
            </w:pPr>
            <w:r>
              <w:rPr>
                <w:rFonts w:ascii="Arial" w:hAnsi="Arial"/>
                <w:color w:val="111111"/>
                <w:sz w:val="18"/>
              </w:rPr>
              <w:t>Confirm TTA’s organization structure, access matrix, financial categories, approvers, leave and payroll rules, reports and source systems.</w:t>
            </w:r>
          </w:p>
        </w:tc>
      </w:tr>
      <w:tr>
        <w:trPr>
          <w:cantSplit/>
        </w:trPr>
        <w:tc>
          <w:tcPr>
            <w:tcW w:type="dxa" w:w="2376"/>
            <w:vAlign w:val="center"/>
            <w:tcMar>
              <w:top w:w="105" w:type="dxa"/>
              <w:start w:w="125" w:type="dxa"/>
              <w:bottom w:w="105" w:type="dxa"/>
              <w:end w:w="125" w:type="dxa"/>
            </w:tcMar>
            <w:shd w:fill="F2F5F8"/>
          </w:tcPr>
          <w:p>
            <w:pPr>
              <w:spacing w:after="20" w:line="247" w:lineRule="auto"/>
            </w:pPr>
            <w:r>
              <w:rPr>
                <w:rFonts w:ascii="Arial" w:hAnsi="Arial"/>
                <w:b/>
                <w:color w:val="111111"/>
                <w:sz w:val="18"/>
              </w:rPr>
              <w:t>Configure and prepare</w:t>
            </w:r>
          </w:p>
        </w:tc>
        <w:tc>
          <w:tcPr>
            <w:tcW w:type="dxa" w:w="7344"/>
            <w:vAlign w:val="center"/>
            <w:tcMar>
              <w:top w:w="105" w:type="dxa"/>
              <w:start w:w="125" w:type="dxa"/>
              <w:bottom w:w="105" w:type="dxa"/>
              <w:end w:w="125" w:type="dxa"/>
            </w:tcMar>
            <w:shd w:fill="F2F5F8"/>
          </w:tcPr>
          <w:p>
            <w:pPr>
              <w:spacing w:after="20" w:line="247" w:lineRule="auto"/>
            </w:pPr>
            <w:r>
              <w:rPr>
                <w:rFonts w:ascii="Arial" w:hAnsi="Arial"/>
                <w:color w:val="111111"/>
                <w:sz w:val="18"/>
              </w:rPr>
              <w:t>Create the tenant, assign services, configure teams and workflows, map approved data, prepare notification settings and confirm ownership.</w:t>
            </w:r>
          </w:p>
        </w:tc>
      </w:tr>
      <w:tr>
        <w:trPr>
          <w:cantSplit/>
        </w:trPr>
        <w:tc>
          <w:tcPr>
            <w:tcW w:type="dxa" w:w="2376"/>
            <w:vAlign w:val="center"/>
            <w:tcMar>
              <w:top w:w="105" w:type="dxa"/>
              <w:start w:w="125" w:type="dxa"/>
              <w:bottom w:w="105" w:type="dxa"/>
              <w:end w:w="125" w:type="dxa"/>
            </w:tcMar>
          </w:tcPr>
          <w:p>
            <w:pPr>
              <w:spacing w:after="20" w:line="247" w:lineRule="auto"/>
            </w:pPr>
            <w:r>
              <w:rPr>
                <w:rFonts w:ascii="Arial" w:hAnsi="Arial"/>
                <w:b/>
                <w:color w:val="111111"/>
                <w:sz w:val="18"/>
              </w:rPr>
              <w:t>User acceptance and enablement</w:t>
            </w:r>
          </w:p>
        </w:tc>
        <w:tc>
          <w:tcPr>
            <w:tcW w:type="dxa" w:w="7344"/>
            <w:vAlign w:val="center"/>
            <w:tcMar>
              <w:top w:w="105" w:type="dxa"/>
              <w:start w:w="125" w:type="dxa"/>
              <w:bottom w:w="105" w:type="dxa"/>
              <w:end w:w="125" w:type="dxa"/>
            </w:tcMar>
          </w:tcPr>
          <w:p>
            <w:pPr>
              <w:spacing w:after="20" w:line="247" w:lineRule="auto"/>
            </w:pPr>
            <w:r>
              <w:rPr>
                <w:rFonts w:ascii="Arial" w:hAnsi="Arial"/>
                <w:color w:val="111111"/>
                <w:sz w:val="18"/>
              </w:rPr>
              <w:t>Test onboarding, approvals, receipts, payroll checks, reports, fleet workflows and access boundaries. Train administrators, approvers, managers and staff.</w:t>
            </w:r>
          </w:p>
        </w:tc>
      </w:tr>
      <w:tr>
        <w:trPr>
          <w:cantSplit/>
        </w:trPr>
        <w:tc>
          <w:tcPr>
            <w:tcW w:type="dxa" w:w="2376"/>
            <w:vAlign w:val="center"/>
            <w:tcMar>
              <w:top w:w="105" w:type="dxa"/>
              <w:start w:w="125" w:type="dxa"/>
              <w:bottom w:w="105" w:type="dxa"/>
              <w:end w:w="125" w:type="dxa"/>
            </w:tcMar>
            <w:shd w:fill="F2F5F8"/>
          </w:tcPr>
          <w:p>
            <w:pPr>
              <w:spacing w:after="20" w:line="247" w:lineRule="auto"/>
            </w:pPr>
            <w:r>
              <w:rPr>
                <w:rFonts w:ascii="Arial" w:hAnsi="Arial"/>
                <w:b/>
                <w:color w:val="111111"/>
                <w:sz w:val="18"/>
              </w:rPr>
              <w:t>Companywide release</w:t>
            </w:r>
          </w:p>
        </w:tc>
        <w:tc>
          <w:tcPr>
            <w:tcW w:type="dxa" w:w="7344"/>
            <w:vAlign w:val="center"/>
            <w:tcMar>
              <w:top w:w="105" w:type="dxa"/>
              <w:start w:w="125" w:type="dxa"/>
              <w:bottom w:w="105" w:type="dxa"/>
              <w:end w:w="125" w:type="dxa"/>
            </w:tcMar>
            <w:shd w:fill="F2F5F8"/>
          </w:tcPr>
          <w:p>
            <w:pPr>
              <w:spacing w:after="20" w:line="247" w:lineRule="auto"/>
            </w:pPr>
            <w:r>
              <w:rPr>
                <w:rFonts w:ascii="Arial" w:hAnsi="Arial"/>
                <w:color w:val="111111"/>
                <w:sz w:val="18"/>
              </w:rPr>
              <w:t>Enable approved users, monitor operational issues, review adoption and refine settings under agreed change control.</w:t>
            </w:r>
          </w:p>
        </w:tc>
      </w:tr>
    </w:tbl>
    <w:p>
      <w:pPr>
        <w:spacing w:after="20"/>
      </w:pPr>
    </w:p>
    <w:p>
      <w:pPr>
        <w:pStyle w:val="Heading2"/>
      </w:pPr>
      <w:r>
        <w:t>Measures agreed with TTA</w:t>
      </w:r>
    </w:p>
    <w:p>
      <w:r>
        <w:t>At discovery, we will agree measures such as employee profile completion, request turnaround, returned claims, leave processing time, payroll review completion, overdue task visibility and audit completeness. Baselines will be established with TTA. No performance or cost-saving percentage is guaranteed in advance.</w:t>
      </w:r>
    </w:p>
    <w:p>
      <w:pPr>
        <w:pStyle w:val="Heading1"/>
      </w:pPr>
      <w:r>
        <w:t>Commercial approach</w:t>
      </w:r>
    </w:p>
    <w:p>
      <w:r>
        <w:t>Zyntris will prepare a commercial schedule after confirming active-user volume, selected modules, data migration requirements, support expectations and any integrations or custom work. The schedule will state subscription, configuration and implementation charges, optional integration work, support and applicable taxes. Subscription activation is arranged manually through the Zyntris Business Development Manager; the application does not process subscription payments.</w:t>
      </w:r>
    </w:p>
    <w:p>
      <w:r>
        <w:t>The final order form or service agreement should record payment terms, data-processing responsibilities, support levels, renewal and cancellation terms, retention and recovery arrangements, and the production start date. This proposal does not state a binding price or service-level commitment.</w:t>
      </w:r>
    </w:p>
    <w:p>
      <w:pPr>
        <w:pStyle w:val="Heading2"/>
      </w:pPr>
      <w:r>
        <w:t>Recommended next steps</w:t>
      </w:r>
    </w:p>
    <w:p>
      <w:pPr>
        <w:pStyle w:val="ListBullet"/>
      </w:pPr>
      <w:r>
        <w:t>Nominate an executive sponsor and representatives from HR, Finance, Operations, IT and data management.</w:t>
      </w:r>
    </w:p>
    <w:p>
      <w:pPr>
        <w:pStyle w:val="ListBullet"/>
      </w:pPr>
      <w:r>
        <w:t>Confirm the selected modules, user count, organization structure, role matrix and approval authority.</w:t>
      </w:r>
    </w:p>
    <w:p>
      <w:pPr>
        <w:pStyle w:val="ListBullet"/>
      </w:pPr>
      <w:r>
        <w:t>Provide approved employee and operating data, payroll inputs, policy rules and source-system requirements.</w:t>
      </w:r>
    </w:p>
    <w:p>
      <w:pPr>
        <w:pStyle w:val="ListBullet"/>
      </w:pPr>
      <w:r>
        <w:t>Agree the commercial schedule, deployment responsibilities, production acceptance tests and recovery evidence.</w:t>
      </w:r>
    </w:p>
    <w:p>
      <w:pPr>
        <w:pStyle w:val="ListBullet"/>
      </w:pPr>
      <w:r>
        <w:t>Authorize configuration and companywide rollout planning after user acceptance.</w:t>
      </w:r>
    </w:p>
    <w:p>
      <w:pPr>
        <w:pStyle w:val="Heading1"/>
      </w:pPr>
      <w:r>
        <w:t>Proposal decision</w:t>
      </w:r>
    </w:p>
    <w:p>
      <w:r>
        <w:t>We invite Transport Tech Africa to authorize discovery and commercial scoping for a companywide Zyntris Operations deployment. Final scope, pricing, dates, integrations and service commitments will be confirmed in a mutually approved order form or service agreement.</w:t>
      </w:r>
    </w:p>
    <w:sectPr w:rsidR="00FC693F" w:rsidRPr="0006063C" w:rsidSect="00034616">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color w:val="596574"/>
        <w:sz w:val="16"/>
      </w:rPr>
      <w:t xml:space="preserve">Zyntris Operations  |  Transport Tech Africa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11111"/>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b/>
      <w:color w:val="111111"/>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Zyntris Operations Proposal for Transport Tech Africa</dc:title>
  <dc:subject>Companywide product and implementation proposal</dc:subject>
  <dc:creator>Zyntris Technologies</dc:creator>
  <cp:keywords>Zyntris Operations, Transport Tech Africa, HR, finance, fleet, projects</cp:keywords>
  <dc:description>generated by python-docx</dc:description>
  <cp:lastModifiedBy/>
  <cp:revision>1</cp:revision>
  <dcterms:created xsi:type="dcterms:W3CDTF">2013-12-23T23:15:00Z</dcterms:created>
  <dcterms:modified xsi:type="dcterms:W3CDTF">2013-12-23T23:15:00Z</dcterms:modified>
  <cp:category/>
</cp:coreProperties>
</file>