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8D1" w:rsidRDefault="007508D1">
      <w:pPr>
        <w:spacing w:after="160"/>
      </w:pPr>
    </w:p>
    <w:p w:rsidR="007508D1" w:rsidRDefault="007508D1">
      <w:pPr>
        <w:spacing w:after="160"/>
      </w:pPr>
    </w:p>
    <w:p w:rsidR="007508D1" w:rsidRDefault="007508D1">
      <w:pPr>
        <w:spacing w:after="160"/>
      </w:pPr>
    </w:p>
    <w:p w:rsidR="007508D1" w:rsidRDefault="00000000">
      <w:pPr>
        <w:spacing w:after="240"/>
      </w:pPr>
      <w:r>
        <w:rPr>
          <w:b/>
          <w:color w:val="1D5360"/>
          <w:sz w:val="24"/>
        </w:rPr>
        <w:t>ZYNTRIS OPERATIONS</w:t>
      </w:r>
    </w:p>
    <w:p w:rsidR="007508D1" w:rsidRDefault="00000000">
      <w:pPr>
        <w:spacing w:after="160"/>
      </w:pPr>
      <w:r>
        <w:rPr>
          <w:rFonts w:ascii="Aptos Display" w:hAnsi="Aptos Display"/>
          <w:b/>
          <w:color w:val="143642"/>
          <w:sz w:val="68"/>
        </w:rPr>
        <w:t>Business proposal for</w:t>
      </w:r>
      <w:r>
        <w:rPr>
          <w:rFonts w:ascii="Aptos Display" w:hAnsi="Aptos Display"/>
          <w:b/>
          <w:color w:val="143642"/>
          <w:sz w:val="68"/>
        </w:rPr>
        <w:br/>
        <w:t>Transport Tech Africa</w:t>
      </w:r>
    </w:p>
    <w:p w:rsidR="007508D1" w:rsidRDefault="007508D1">
      <w:pPr>
        <w:pBdr>
          <w:bottom w:val="single" w:sz="24" w:space="1" w:color="D9AA4B"/>
        </w:pBdr>
        <w:spacing w:before="160" w:after="480"/>
      </w:pPr>
    </w:p>
    <w:p w:rsidR="007508D1" w:rsidRDefault="00000000">
      <w:pPr>
        <w:spacing w:after="140"/>
      </w:pPr>
      <w:r>
        <w:rPr>
          <w:rFonts w:ascii="Aptos Display" w:hAnsi="Aptos Display"/>
          <w:color w:val="1D5360"/>
          <w:sz w:val="34"/>
        </w:rPr>
        <w:t>Companywide operations, HR and financial controls</w:t>
      </w:r>
      <w:r>
        <w:rPr>
          <w:rFonts w:ascii="Aptos Display" w:hAnsi="Aptos Display"/>
          <w:color w:val="1D5360"/>
          <w:sz w:val="34"/>
        </w:rPr>
        <w:br/>
        <w:t>in one secure workspace.</w:t>
      </w:r>
    </w:p>
    <w:p w:rsidR="007508D1" w:rsidRDefault="007508D1"/>
    <w:p w:rsidR="007508D1" w:rsidRDefault="007508D1"/>
    <w:p w:rsidR="007508D1" w:rsidRDefault="00000000">
      <w:pPr>
        <w:spacing w:after="100"/>
      </w:pPr>
      <w:r>
        <w:rPr>
          <w:b/>
          <w:color w:val="D9AA4B"/>
          <w:sz w:val="16"/>
        </w:rPr>
        <w:t>PREPARED FOR</w:t>
      </w:r>
    </w:p>
    <w:p w:rsidR="007508D1" w:rsidRDefault="00000000">
      <w:pPr>
        <w:spacing w:after="400"/>
      </w:pPr>
      <w:r>
        <w:rPr>
          <w:rFonts w:ascii="Aptos Display" w:hAnsi="Aptos Display"/>
          <w:b/>
          <w:color w:val="143642"/>
          <w:sz w:val="38"/>
        </w:rPr>
        <w:t>Transport Tech Africa</w:t>
      </w:r>
    </w:p>
    <w:p w:rsidR="007508D1" w:rsidRDefault="00000000">
      <w:pPr>
        <w:spacing w:after="40"/>
      </w:pPr>
      <w:r>
        <w:rPr>
          <w:color w:val="657786"/>
        </w:rPr>
        <w:t>Prepared by Zyntris  |  9 October 2026</w:t>
      </w:r>
    </w:p>
    <w:p w:rsidR="007508D1" w:rsidRDefault="00000000">
      <w:pPr>
        <w:spacing w:after="0"/>
      </w:pPr>
      <w:r>
        <w:rPr>
          <w:i/>
          <w:color w:val="657786"/>
          <w:sz w:val="17"/>
        </w:rPr>
        <w:t>Business proposal | Prepared for Transport Tech Africa</w:t>
      </w:r>
    </w:p>
    <w:p w:rsidR="007508D1" w:rsidRDefault="00000000">
      <w:r>
        <w:br w:type="page"/>
      </w:r>
    </w:p>
    <w:p w:rsidR="007508D1" w:rsidRDefault="00000000">
      <w:pPr>
        <w:pStyle w:val="Heading1"/>
      </w:pPr>
      <w:r>
        <w:lastRenderedPageBreak/>
        <w:t>Executive proposal</w:t>
      </w:r>
    </w:p>
    <w:p w:rsidR="007508D1" w:rsidRDefault="00000000">
      <w:r>
        <w:t>Transport Tech Africa works in a coordination-heavy environment: bookings, documents, customs, partners, teams and delivery all need people to make timely decisions. Zyntris Operations is proposed as the shared back-office workspace for the people, requests, approvals and records that support that work.</w:t>
      </w:r>
    </w:p>
    <w:p w:rsidR="007508D1" w:rsidRDefault="00000000">
      <w:r>
        <w:t>The platform brings HR administration, employee self-service, expenses, operational requests, budgets, projects and task coordination into a tenant-isolated SaaS workspace. It can give managers a clearer route from request to decision, help finance apply consistent controls, and give HR a dependable record of the workforce lifecycle.</w:t>
      </w:r>
    </w:p>
    <w:p w:rsidR="007508D1" w:rsidRDefault="00000000">
      <w:r>
        <w:t>We propose deploying Zyntris Operations across Transport Tech Africa as a companywide back-office workspace. The implementation will configure organization-wide teams, roles, approval rules, leave and expense policies, and reporting, then prepare the full employee population for a coordinated go-live.</w:t>
      </w:r>
    </w:p>
    <w:p w:rsidR="007508D1" w:rsidRDefault="00000000">
      <w:pPr>
        <w:pStyle w:val="Heading2"/>
      </w:pPr>
      <w:r>
        <w:t>What we understand about your context</w:t>
      </w:r>
    </w:p>
    <w:p w:rsidR="007508D1" w:rsidRDefault="00000000">
      <w:r>
        <w:t>Transport Tech Africa’s public company profile describes a Lagos-based freight and package transportation business serving transportation and supply-chain needs across Africa. Its profile and recent public updates emphasize adaptable logistics, cost control, shipment coordination, documentation, visibility and reliable delivery.[1] We use that public information only as a starting point; the implementation should be shaped by your internal workflows and priorities.</w:t>
      </w:r>
    </w:p>
    <w:p w:rsidR="007508D1" w:rsidRDefault="00000000">
      <w:pPr>
        <w:pStyle w:val="Heading2"/>
      </w:pPr>
      <w:r>
        <w:t>The proposal in one view</w:t>
      </w:r>
    </w:p>
    <w:tbl>
      <w:tblPr>
        <w:tblW w:w="0" w:type="auto"/>
        <w:jc w:val="center"/>
        <w:tblLayout w:type="fixed"/>
        <w:tblLook w:val="04A0" w:firstRow="1" w:lastRow="0" w:firstColumn="1" w:lastColumn="0" w:noHBand="0" w:noVBand="1"/>
      </w:tblPr>
      <w:tblGrid>
        <w:gridCol w:w="4939"/>
        <w:gridCol w:w="7200"/>
      </w:tblGrid>
      <w:tr w:rsidR="007508D1">
        <w:trPr>
          <w:cantSplit/>
          <w:tblHeader/>
          <w:jc w:val="center"/>
        </w:trPr>
        <w:tc>
          <w:tcPr>
            <w:tcW w:w="4939" w:type="dxa"/>
            <w:tcBorders>
              <w:top w:val="single" w:sz="4" w:space="0" w:color="143642"/>
              <w:left w:val="single" w:sz="4" w:space="0" w:color="143642"/>
              <w:bottom w:val="single" w:sz="4" w:space="0" w:color="143642"/>
              <w:right w:val="single" w:sz="4" w:space="0" w:color="143642"/>
            </w:tcBorders>
            <w:shd w:val="clear" w:color="auto" w:fill="143642"/>
            <w:tcMar>
              <w:top w:w="90" w:type="dxa"/>
              <w:left w:w="110" w:type="dxa"/>
              <w:bottom w:w="90" w:type="dxa"/>
              <w:right w:w="110" w:type="dxa"/>
            </w:tcMar>
            <w:vAlign w:val="center"/>
          </w:tcPr>
          <w:p w:rsidR="007508D1" w:rsidRDefault="00000000">
            <w:pPr>
              <w:spacing w:after="0" w:line="259" w:lineRule="auto"/>
            </w:pPr>
            <w:r>
              <w:rPr>
                <w:b/>
                <w:color w:val="FFFFFF"/>
                <w:sz w:val="17"/>
              </w:rPr>
              <w:t>OUTCOME</w:t>
            </w:r>
          </w:p>
        </w:tc>
        <w:tc>
          <w:tcPr>
            <w:tcW w:w="4939" w:type="dxa"/>
            <w:tcBorders>
              <w:top w:val="single" w:sz="4" w:space="0" w:color="143642"/>
              <w:left w:val="single" w:sz="4" w:space="0" w:color="143642"/>
              <w:bottom w:val="single" w:sz="4" w:space="0" w:color="143642"/>
              <w:right w:val="single" w:sz="4" w:space="0" w:color="143642"/>
            </w:tcBorders>
            <w:shd w:val="clear" w:color="auto" w:fill="143642"/>
            <w:tcMar>
              <w:top w:w="90" w:type="dxa"/>
              <w:left w:w="110" w:type="dxa"/>
              <w:bottom w:w="90" w:type="dxa"/>
              <w:right w:w="110" w:type="dxa"/>
            </w:tcMar>
            <w:vAlign w:val="center"/>
          </w:tcPr>
          <w:p w:rsidR="007508D1" w:rsidRDefault="00000000">
            <w:pPr>
              <w:spacing w:after="0" w:line="259" w:lineRule="auto"/>
            </w:pPr>
            <w:r>
              <w:rPr>
                <w:b/>
                <w:color w:val="FFFFFF"/>
                <w:sz w:val="17"/>
              </w:rPr>
              <w:t>HOW ZYNTRIS SUPPORTS IT</w:t>
            </w:r>
          </w:p>
        </w:tc>
      </w:tr>
      <w:tr w:rsidR="007508D1">
        <w:trPr>
          <w:cantSplit/>
          <w:jc w:val="center"/>
        </w:trPr>
        <w:tc>
          <w:tcPr>
            <w:tcW w:w="2232" w:type="dxa"/>
            <w:tcBorders>
              <w:top w:val="single" w:sz="5" w:space="0" w:color="D9E2E6"/>
              <w:left w:val="single" w:sz="5" w:space="0" w:color="D9E2E6"/>
              <w:bottom w:val="single" w:sz="5" w:space="0" w:color="D9E2E6"/>
              <w:right w:val="single" w:sz="5" w:space="0" w:color="D9E2E6"/>
            </w:tcBorders>
            <w:shd w:val="clear" w:color="auto" w:fill="F2F6F7"/>
            <w:tcMar>
              <w:top w:w="90" w:type="dxa"/>
              <w:left w:w="110" w:type="dxa"/>
              <w:bottom w:w="90" w:type="dxa"/>
              <w:right w:w="110" w:type="dxa"/>
            </w:tcMar>
            <w:vAlign w:val="center"/>
          </w:tcPr>
          <w:p w:rsidR="007508D1" w:rsidRDefault="00000000">
            <w:pPr>
              <w:spacing w:after="0" w:line="259" w:lineRule="auto"/>
            </w:pPr>
            <w:r>
              <w:rPr>
                <w:b/>
                <w:sz w:val="17"/>
              </w:rPr>
              <w:t>One employee record</w:t>
            </w:r>
          </w:p>
        </w:tc>
        <w:tc>
          <w:tcPr>
            <w:tcW w:w="7200" w:type="dxa"/>
            <w:tcBorders>
              <w:top w:val="single" w:sz="5" w:space="0" w:color="D9E2E6"/>
              <w:left w:val="single" w:sz="5" w:space="0" w:color="D9E2E6"/>
              <w:bottom w:val="single" w:sz="5" w:space="0" w:color="D9E2E6"/>
              <w:right w:val="single" w:sz="5" w:space="0" w:color="D9E2E6"/>
            </w:tcBorders>
            <w:shd w:val="clear" w:color="auto" w:fill="F2F6F7"/>
            <w:tcMar>
              <w:top w:w="90" w:type="dxa"/>
              <w:left w:w="110" w:type="dxa"/>
              <w:bottom w:w="90" w:type="dxa"/>
              <w:right w:w="110" w:type="dxa"/>
            </w:tcMar>
            <w:vAlign w:val="center"/>
          </w:tcPr>
          <w:p w:rsidR="007508D1" w:rsidRDefault="00000000">
            <w:pPr>
              <w:spacing w:after="0" w:line="259" w:lineRule="auto"/>
            </w:pPr>
            <w:r>
              <w:rPr>
                <w:sz w:val="17"/>
              </w:rPr>
              <w:t>Central employee profiles, department and team structure, assigned access, HR onboarding and invitation emails.</w:t>
            </w:r>
          </w:p>
        </w:tc>
      </w:tr>
      <w:tr w:rsidR="007508D1">
        <w:trPr>
          <w:cantSplit/>
          <w:jc w:val="center"/>
        </w:trPr>
        <w:tc>
          <w:tcPr>
            <w:tcW w:w="2232" w:type="dxa"/>
            <w:tcBorders>
              <w:top w:val="single" w:sz="5" w:space="0" w:color="D9E2E6"/>
              <w:left w:val="single" w:sz="5" w:space="0" w:color="D9E2E6"/>
              <w:bottom w:val="single" w:sz="5" w:space="0" w:color="D9E2E6"/>
              <w:right w:val="single" w:sz="5" w:space="0" w:color="D9E2E6"/>
            </w:tcBorders>
            <w:shd w:val="clear" w:color="auto" w:fill="FFFFFF"/>
            <w:tcMar>
              <w:top w:w="90" w:type="dxa"/>
              <w:left w:w="110" w:type="dxa"/>
              <w:bottom w:w="90" w:type="dxa"/>
              <w:right w:w="110" w:type="dxa"/>
            </w:tcMar>
            <w:vAlign w:val="center"/>
          </w:tcPr>
          <w:p w:rsidR="007508D1" w:rsidRDefault="00000000">
            <w:pPr>
              <w:spacing w:after="0" w:line="259" w:lineRule="auto"/>
            </w:pPr>
            <w:r>
              <w:rPr>
                <w:b/>
                <w:sz w:val="17"/>
              </w:rPr>
              <w:t>More controlled spend</w:t>
            </w:r>
          </w:p>
        </w:tc>
        <w:tc>
          <w:tcPr>
            <w:tcW w:w="7200" w:type="dxa"/>
            <w:tcBorders>
              <w:top w:val="single" w:sz="5" w:space="0" w:color="D9E2E6"/>
              <w:left w:val="single" w:sz="5" w:space="0" w:color="D9E2E6"/>
              <w:bottom w:val="single" w:sz="5" w:space="0" w:color="D9E2E6"/>
              <w:right w:val="single" w:sz="5" w:space="0" w:color="D9E2E6"/>
            </w:tcBorders>
            <w:shd w:val="clear" w:color="auto" w:fill="FFFFFF"/>
            <w:tcMar>
              <w:top w:w="90" w:type="dxa"/>
              <w:left w:w="110" w:type="dxa"/>
              <w:bottom w:w="90" w:type="dxa"/>
              <w:right w:w="110" w:type="dxa"/>
            </w:tcMar>
            <w:vAlign w:val="center"/>
          </w:tcPr>
          <w:p w:rsidR="007508D1" w:rsidRDefault="00000000">
            <w:pPr>
              <w:spacing w:after="0" w:line="259" w:lineRule="auto"/>
            </w:pPr>
            <w:r>
              <w:rPr>
                <w:sz w:val="17"/>
              </w:rPr>
              <w:t>Expense claims with receipts and policy checks, budget visibility, request history, and role-based approvals.</w:t>
            </w:r>
          </w:p>
        </w:tc>
      </w:tr>
      <w:tr w:rsidR="007508D1">
        <w:trPr>
          <w:cantSplit/>
          <w:jc w:val="center"/>
        </w:trPr>
        <w:tc>
          <w:tcPr>
            <w:tcW w:w="2232" w:type="dxa"/>
            <w:tcBorders>
              <w:top w:val="single" w:sz="5" w:space="0" w:color="D9E2E6"/>
              <w:left w:val="single" w:sz="5" w:space="0" w:color="D9E2E6"/>
              <w:bottom w:val="single" w:sz="5" w:space="0" w:color="D9E2E6"/>
              <w:right w:val="single" w:sz="5" w:space="0" w:color="D9E2E6"/>
            </w:tcBorders>
            <w:shd w:val="clear" w:color="auto" w:fill="F2F6F7"/>
            <w:tcMar>
              <w:top w:w="90" w:type="dxa"/>
              <w:left w:w="110" w:type="dxa"/>
              <w:bottom w:w="90" w:type="dxa"/>
              <w:right w:w="110" w:type="dxa"/>
            </w:tcMar>
            <w:vAlign w:val="center"/>
          </w:tcPr>
          <w:p w:rsidR="007508D1" w:rsidRDefault="00000000">
            <w:pPr>
              <w:spacing w:after="0" w:line="259" w:lineRule="auto"/>
            </w:pPr>
            <w:r>
              <w:rPr>
                <w:b/>
                <w:sz w:val="17"/>
              </w:rPr>
              <w:t>Clear accountability</w:t>
            </w:r>
          </w:p>
        </w:tc>
        <w:tc>
          <w:tcPr>
            <w:tcW w:w="7200" w:type="dxa"/>
            <w:tcBorders>
              <w:top w:val="single" w:sz="5" w:space="0" w:color="D9E2E6"/>
              <w:left w:val="single" w:sz="5" w:space="0" w:color="D9E2E6"/>
              <w:bottom w:val="single" w:sz="5" w:space="0" w:color="D9E2E6"/>
              <w:right w:val="single" w:sz="5" w:space="0" w:color="D9E2E6"/>
            </w:tcBorders>
            <w:shd w:val="clear" w:color="auto" w:fill="F2F6F7"/>
            <w:tcMar>
              <w:top w:w="90" w:type="dxa"/>
              <w:left w:w="110" w:type="dxa"/>
              <w:bottom w:w="90" w:type="dxa"/>
              <w:right w:w="110" w:type="dxa"/>
            </w:tcMar>
            <w:vAlign w:val="center"/>
          </w:tcPr>
          <w:p w:rsidR="007508D1" w:rsidRDefault="00000000">
            <w:pPr>
              <w:spacing w:after="0" w:line="259" w:lineRule="auto"/>
            </w:pPr>
            <w:r>
              <w:rPr>
                <w:sz w:val="17"/>
              </w:rPr>
              <w:t>CEO-first financial approval, configured fallback, reviewer notes, return-for-edit, notifications and audit history.</w:t>
            </w:r>
          </w:p>
        </w:tc>
      </w:tr>
      <w:tr w:rsidR="007508D1">
        <w:trPr>
          <w:cantSplit/>
          <w:jc w:val="center"/>
        </w:trPr>
        <w:tc>
          <w:tcPr>
            <w:tcW w:w="2232" w:type="dxa"/>
            <w:tcBorders>
              <w:top w:val="single" w:sz="5" w:space="0" w:color="D9E2E6"/>
              <w:left w:val="single" w:sz="5" w:space="0" w:color="D9E2E6"/>
              <w:bottom w:val="single" w:sz="5" w:space="0" w:color="D9E2E6"/>
              <w:right w:val="single" w:sz="5" w:space="0" w:color="D9E2E6"/>
            </w:tcBorders>
            <w:shd w:val="clear" w:color="auto" w:fill="FFFFFF"/>
            <w:tcMar>
              <w:top w:w="90" w:type="dxa"/>
              <w:left w:w="110" w:type="dxa"/>
              <w:bottom w:w="90" w:type="dxa"/>
              <w:right w:w="110" w:type="dxa"/>
            </w:tcMar>
            <w:vAlign w:val="center"/>
          </w:tcPr>
          <w:p w:rsidR="007508D1" w:rsidRDefault="00000000">
            <w:pPr>
              <w:spacing w:after="0" w:line="259" w:lineRule="auto"/>
            </w:pPr>
            <w:r>
              <w:rPr>
                <w:b/>
                <w:sz w:val="17"/>
              </w:rPr>
              <w:t>A consistent operating rhythm</w:t>
            </w:r>
          </w:p>
        </w:tc>
        <w:tc>
          <w:tcPr>
            <w:tcW w:w="7200" w:type="dxa"/>
            <w:tcBorders>
              <w:top w:val="single" w:sz="5" w:space="0" w:color="D9E2E6"/>
              <w:left w:val="single" w:sz="5" w:space="0" w:color="D9E2E6"/>
              <w:bottom w:val="single" w:sz="5" w:space="0" w:color="D9E2E6"/>
              <w:right w:val="single" w:sz="5" w:space="0" w:color="D9E2E6"/>
            </w:tcBorders>
            <w:shd w:val="clear" w:color="auto" w:fill="FFFFFF"/>
            <w:tcMar>
              <w:top w:w="90" w:type="dxa"/>
              <w:left w:w="110" w:type="dxa"/>
              <w:bottom w:w="90" w:type="dxa"/>
              <w:right w:w="110" w:type="dxa"/>
            </w:tcMar>
            <w:vAlign w:val="center"/>
          </w:tcPr>
          <w:p w:rsidR="007508D1" w:rsidRDefault="00000000">
            <w:pPr>
              <w:spacing w:after="0" w:line="259" w:lineRule="auto"/>
            </w:pPr>
            <w:r>
              <w:rPr>
                <w:sz w:val="17"/>
              </w:rPr>
              <w:t>Leave, attendance, appraisals, tasks, projects, calendar, helpdesk, vendors and asset registers in one workspace.</w:t>
            </w:r>
          </w:p>
        </w:tc>
      </w:tr>
    </w:tbl>
    <w:p w:rsidR="007508D1" w:rsidRDefault="007508D1">
      <w:pPr>
        <w:spacing w:after="20"/>
      </w:pPr>
    </w:p>
    <w:p w:rsidR="007508D1" w:rsidRDefault="00000000">
      <w:pPr>
        <w:pStyle w:val="Heading1"/>
      </w:pPr>
      <w:r>
        <w:t>Recommended solution scope</w:t>
      </w:r>
    </w:p>
    <w:p w:rsidR="007508D1" w:rsidRDefault="00000000">
      <w:r>
        <w:t>The modules below are available in the Zyntris Operations product. Their exact use at Transport Tech Africa—including roles, approval limits, data fields and reports—would be confirmed during discovery and configured with your nominated process owners.</w:t>
      </w:r>
    </w:p>
    <w:tbl>
      <w:tblPr>
        <w:tblW w:w="0" w:type="auto"/>
        <w:jc w:val="center"/>
        <w:tblLayout w:type="fixed"/>
        <w:tblLook w:val="04A0" w:firstRow="1" w:lastRow="0" w:firstColumn="1" w:lastColumn="0" w:noHBand="0" w:noVBand="1"/>
      </w:tblPr>
      <w:tblGrid>
        <w:gridCol w:w="3293"/>
        <w:gridCol w:w="4824"/>
        <w:gridCol w:w="3293"/>
      </w:tblGrid>
      <w:tr w:rsidR="007508D1">
        <w:trPr>
          <w:cantSplit/>
          <w:tblHeader/>
          <w:jc w:val="center"/>
        </w:trPr>
        <w:tc>
          <w:tcPr>
            <w:tcW w:w="3293" w:type="dxa"/>
            <w:tcBorders>
              <w:top w:val="single" w:sz="4" w:space="0" w:color="143642"/>
              <w:left w:val="single" w:sz="4" w:space="0" w:color="143642"/>
              <w:bottom w:val="single" w:sz="4" w:space="0" w:color="143642"/>
              <w:right w:val="single" w:sz="4" w:space="0" w:color="143642"/>
            </w:tcBorders>
            <w:shd w:val="clear" w:color="auto" w:fill="143642"/>
            <w:tcMar>
              <w:top w:w="90" w:type="dxa"/>
              <w:left w:w="110" w:type="dxa"/>
              <w:bottom w:w="90" w:type="dxa"/>
              <w:right w:w="110" w:type="dxa"/>
            </w:tcMar>
            <w:vAlign w:val="center"/>
          </w:tcPr>
          <w:p w:rsidR="007508D1" w:rsidRDefault="00000000">
            <w:pPr>
              <w:spacing w:after="0" w:line="259" w:lineRule="auto"/>
            </w:pPr>
            <w:r>
              <w:rPr>
                <w:b/>
                <w:color w:val="FFFFFF"/>
                <w:sz w:val="17"/>
              </w:rPr>
              <w:t>MODULE</w:t>
            </w:r>
          </w:p>
        </w:tc>
        <w:tc>
          <w:tcPr>
            <w:tcW w:w="3293" w:type="dxa"/>
            <w:tcBorders>
              <w:top w:val="single" w:sz="4" w:space="0" w:color="143642"/>
              <w:left w:val="single" w:sz="4" w:space="0" w:color="143642"/>
              <w:bottom w:val="single" w:sz="4" w:space="0" w:color="143642"/>
              <w:right w:val="single" w:sz="4" w:space="0" w:color="143642"/>
            </w:tcBorders>
            <w:shd w:val="clear" w:color="auto" w:fill="143642"/>
            <w:tcMar>
              <w:top w:w="90" w:type="dxa"/>
              <w:left w:w="110" w:type="dxa"/>
              <w:bottom w:w="90" w:type="dxa"/>
              <w:right w:w="110" w:type="dxa"/>
            </w:tcMar>
            <w:vAlign w:val="center"/>
          </w:tcPr>
          <w:p w:rsidR="007508D1" w:rsidRDefault="00000000">
            <w:pPr>
              <w:spacing w:after="0" w:line="259" w:lineRule="auto"/>
            </w:pPr>
            <w:r>
              <w:rPr>
                <w:b/>
                <w:color w:val="FFFFFF"/>
                <w:sz w:val="17"/>
              </w:rPr>
              <w:t>PROPOSED USE AT TRANSPORT TECH AFRICA</w:t>
            </w:r>
          </w:p>
        </w:tc>
        <w:tc>
          <w:tcPr>
            <w:tcW w:w="3293" w:type="dxa"/>
            <w:tcBorders>
              <w:top w:val="single" w:sz="4" w:space="0" w:color="143642"/>
              <w:left w:val="single" w:sz="4" w:space="0" w:color="143642"/>
              <w:bottom w:val="single" w:sz="4" w:space="0" w:color="143642"/>
              <w:right w:val="single" w:sz="4" w:space="0" w:color="143642"/>
            </w:tcBorders>
            <w:shd w:val="clear" w:color="auto" w:fill="143642"/>
            <w:tcMar>
              <w:top w:w="90" w:type="dxa"/>
              <w:left w:w="110" w:type="dxa"/>
              <w:bottom w:w="90" w:type="dxa"/>
              <w:right w:w="110" w:type="dxa"/>
            </w:tcMar>
            <w:vAlign w:val="center"/>
          </w:tcPr>
          <w:p w:rsidR="007508D1" w:rsidRDefault="00000000">
            <w:pPr>
              <w:spacing w:after="0" w:line="259" w:lineRule="auto"/>
            </w:pPr>
            <w:r>
              <w:rPr>
                <w:b/>
                <w:color w:val="FFFFFF"/>
                <w:sz w:val="17"/>
              </w:rPr>
              <w:t>BOUNDARY / STATUS</w:t>
            </w:r>
          </w:p>
        </w:tc>
      </w:tr>
      <w:tr w:rsidR="007508D1">
        <w:trPr>
          <w:cantSplit/>
          <w:jc w:val="center"/>
        </w:trPr>
        <w:tc>
          <w:tcPr>
            <w:tcW w:w="1728" w:type="dxa"/>
            <w:tcBorders>
              <w:top w:val="single" w:sz="5" w:space="0" w:color="D9E2E6"/>
              <w:left w:val="single" w:sz="5" w:space="0" w:color="D9E2E6"/>
              <w:bottom w:val="single" w:sz="5" w:space="0" w:color="D9E2E6"/>
              <w:right w:val="single" w:sz="5" w:space="0" w:color="D9E2E6"/>
            </w:tcBorders>
            <w:shd w:val="clear" w:color="auto" w:fill="F2F6F7"/>
            <w:tcMar>
              <w:top w:w="90" w:type="dxa"/>
              <w:left w:w="110" w:type="dxa"/>
              <w:bottom w:w="90" w:type="dxa"/>
              <w:right w:w="110" w:type="dxa"/>
            </w:tcMar>
            <w:vAlign w:val="center"/>
          </w:tcPr>
          <w:p w:rsidR="007508D1" w:rsidRDefault="00000000">
            <w:pPr>
              <w:spacing w:after="0" w:line="259" w:lineRule="auto"/>
            </w:pPr>
            <w:r>
              <w:rPr>
                <w:b/>
                <w:sz w:val="16"/>
              </w:rPr>
              <w:t>Organization &amp; access</w:t>
            </w:r>
          </w:p>
        </w:tc>
        <w:tc>
          <w:tcPr>
            <w:tcW w:w="4824" w:type="dxa"/>
            <w:tcBorders>
              <w:top w:val="single" w:sz="5" w:space="0" w:color="D9E2E6"/>
              <w:left w:val="single" w:sz="5" w:space="0" w:color="D9E2E6"/>
              <w:bottom w:val="single" w:sz="5" w:space="0" w:color="D9E2E6"/>
              <w:right w:val="single" w:sz="5" w:space="0" w:color="D9E2E6"/>
            </w:tcBorders>
            <w:shd w:val="clear" w:color="auto" w:fill="F2F6F7"/>
            <w:tcMar>
              <w:top w:w="90" w:type="dxa"/>
              <w:left w:w="110" w:type="dxa"/>
              <w:bottom w:w="90" w:type="dxa"/>
              <w:right w:w="110" w:type="dxa"/>
            </w:tcMar>
            <w:vAlign w:val="center"/>
          </w:tcPr>
          <w:p w:rsidR="007508D1" w:rsidRDefault="00000000">
            <w:pPr>
              <w:spacing w:after="0" w:line="259" w:lineRule="auto"/>
            </w:pPr>
            <w:r>
              <w:rPr>
                <w:sz w:val="16"/>
              </w:rPr>
              <w:t>Set up a dedicated tenant, company profile, departments, teams, employee access levels and administrator roles. HR can onboard employees and send account invitations.</w:t>
            </w:r>
          </w:p>
        </w:tc>
        <w:tc>
          <w:tcPr>
            <w:tcW w:w="2880" w:type="dxa"/>
            <w:tcBorders>
              <w:top w:val="single" w:sz="5" w:space="0" w:color="D9E2E6"/>
              <w:left w:val="single" w:sz="5" w:space="0" w:color="D9E2E6"/>
              <w:bottom w:val="single" w:sz="5" w:space="0" w:color="D9E2E6"/>
              <w:right w:val="single" w:sz="5" w:space="0" w:color="D9E2E6"/>
            </w:tcBorders>
            <w:shd w:val="clear" w:color="auto" w:fill="F2F6F7"/>
            <w:tcMar>
              <w:top w:w="90" w:type="dxa"/>
              <w:left w:w="110" w:type="dxa"/>
              <w:bottom w:w="90" w:type="dxa"/>
              <w:right w:w="110" w:type="dxa"/>
            </w:tcMar>
            <w:vAlign w:val="center"/>
          </w:tcPr>
          <w:p w:rsidR="007508D1" w:rsidRDefault="00000000">
            <w:pPr>
              <w:spacing w:after="0" w:line="259" w:lineRule="auto"/>
            </w:pPr>
            <w:r>
              <w:t>Core workspace capability; organization-wide structure and permissions configured for deployment.</w:t>
            </w:r>
          </w:p>
        </w:tc>
      </w:tr>
      <w:tr w:rsidR="007508D1">
        <w:trPr>
          <w:cantSplit/>
          <w:jc w:val="center"/>
        </w:trPr>
        <w:tc>
          <w:tcPr>
            <w:tcW w:w="1728" w:type="dxa"/>
            <w:tcBorders>
              <w:top w:val="single" w:sz="5" w:space="0" w:color="D9E2E6"/>
              <w:left w:val="single" w:sz="5" w:space="0" w:color="D9E2E6"/>
              <w:bottom w:val="single" w:sz="5" w:space="0" w:color="D9E2E6"/>
              <w:right w:val="single" w:sz="5" w:space="0" w:color="D9E2E6"/>
            </w:tcBorders>
            <w:shd w:val="clear" w:color="auto" w:fill="FFFFFF"/>
            <w:tcMar>
              <w:top w:w="90" w:type="dxa"/>
              <w:left w:w="110" w:type="dxa"/>
              <w:bottom w:w="90" w:type="dxa"/>
              <w:right w:w="110" w:type="dxa"/>
            </w:tcMar>
            <w:vAlign w:val="center"/>
          </w:tcPr>
          <w:p w:rsidR="007508D1" w:rsidRDefault="00000000">
            <w:pPr>
              <w:spacing w:after="0" w:line="259" w:lineRule="auto"/>
            </w:pPr>
            <w:r>
              <w:rPr>
                <w:b/>
                <w:sz w:val="16"/>
              </w:rPr>
              <w:t>HR &amp; employee lifecycle</w:t>
            </w:r>
          </w:p>
        </w:tc>
        <w:tc>
          <w:tcPr>
            <w:tcW w:w="4824" w:type="dxa"/>
            <w:tcBorders>
              <w:top w:val="single" w:sz="5" w:space="0" w:color="D9E2E6"/>
              <w:left w:val="single" w:sz="5" w:space="0" w:color="D9E2E6"/>
              <w:bottom w:val="single" w:sz="5" w:space="0" w:color="D9E2E6"/>
              <w:right w:val="single" w:sz="5" w:space="0" w:color="D9E2E6"/>
            </w:tcBorders>
            <w:shd w:val="clear" w:color="auto" w:fill="FFFFFF"/>
            <w:tcMar>
              <w:top w:w="90" w:type="dxa"/>
              <w:left w:w="110" w:type="dxa"/>
              <w:bottom w:w="90" w:type="dxa"/>
              <w:right w:w="110" w:type="dxa"/>
            </w:tcMar>
            <w:vAlign w:val="center"/>
          </w:tcPr>
          <w:p w:rsidR="007508D1" w:rsidRDefault="00000000">
            <w:pPr>
              <w:spacing w:after="0" w:line="259" w:lineRule="auto"/>
            </w:pPr>
            <w:r>
              <w:rPr>
                <w:sz w:val="16"/>
              </w:rPr>
              <w:t>Maintain employee profiles, line managers, leave submissions and decisions, attendance/time-clock records, shift schedules, appraisals, 360 feedback, KPIs and improvement plans.</w:t>
            </w:r>
          </w:p>
        </w:tc>
        <w:tc>
          <w:tcPr>
            <w:tcW w:w="2880" w:type="dxa"/>
            <w:tcBorders>
              <w:top w:val="single" w:sz="5" w:space="0" w:color="D9E2E6"/>
              <w:left w:val="single" w:sz="5" w:space="0" w:color="D9E2E6"/>
              <w:bottom w:val="single" w:sz="5" w:space="0" w:color="D9E2E6"/>
              <w:right w:val="single" w:sz="5" w:space="0" w:color="D9E2E6"/>
            </w:tcBorders>
            <w:shd w:val="clear" w:color="auto" w:fill="FFFFFF"/>
            <w:tcMar>
              <w:top w:w="90" w:type="dxa"/>
              <w:left w:w="110" w:type="dxa"/>
              <w:bottom w:w="90" w:type="dxa"/>
              <w:right w:w="110" w:type="dxa"/>
            </w:tcMar>
            <w:vAlign w:val="center"/>
          </w:tcPr>
          <w:p w:rsidR="007508D1" w:rsidRDefault="00000000">
            <w:pPr>
              <w:spacing w:after="0" w:line="259" w:lineRule="auto"/>
            </w:pPr>
            <w:r>
              <w:rPr>
                <w:sz w:val="16"/>
              </w:rPr>
              <w:t>Available modules; HR policies, schedules, KPI framework and appraisal cycle require TTA configuration.</w:t>
            </w:r>
          </w:p>
        </w:tc>
      </w:tr>
      <w:tr w:rsidR="007508D1">
        <w:trPr>
          <w:cantSplit/>
          <w:jc w:val="center"/>
        </w:trPr>
        <w:tc>
          <w:tcPr>
            <w:tcW w:w="1728" w:type="dxa"/>
            <w:tcBorders>
              <w:top w:val="single" w:sz="5" w:space="0" w:color="D9E2E6"/>
              <w:left w:val="single" w:sz="5" w:space="0" w:color="D9E2E6"/>
              <w:bottom w:val="single" w:sz="5" w:space="0" w:color="D9E2E6"/>
              <w:right w:val="single" w:sz="5" w:space="0" w:color="D9E2E6"/>
            </w:tcBorders>
            <w:shd w:val="clear" w:color="auto" w:fill="F2F6F7"/>
            <w:tcMar>
              <w:top w:w="90" w:type="dxa"/>
              <w:left w:w="110" w:type="dxa"/>
              <w:bottom w:w="90" w:type="dxa"/>
              <w:right w:w="110" w:type="dxa"/>
            </w:tcMar>
            <w:vAlign w:val="center"/>
          </w:tcPr>
          <w:p w:rsidR="007508D1" w:rsidRDefault="00000000">
            <w:pPr>
              <w:spacing w:after="0" w:line="259" w:lineRule="auto"/>
            </w:pPr>
            <w:r>
              <w:rPr>
                <w:b/>
                <w:sz w:val="16"/>
              </w:rPr>
              <w:lastRenderedPageBreak/>
              <w:t>Payroll records</w:t>
            </w:r>
          </w:p>
        </w:tc>
        <w:tc>
          <w:tcPr>
            <w:tcW w:w="4824" w:type="dxa"/>
            <w:tcBorders>
              <w:top w:val="single" w:sz="5" w:space="0" w:color="D9E2E6"/>
              <w:left w:val="single" w:sz="5" w:space="0" w:color="D9E2E6"/>
              <w:bottom w:val="single" w:sz="5" w:space="0" w:color="D9E2E6"/>
              <w:right w:val="single" w:sz="5" w:space="0" w:color="D9E2E6"/>
            </w:tcBorders>
            <w:shd w:val="clear" w:color="auto" w:fill="F2F6F7"/>
            <w:tcMar>
              <w:top w:w="90" w:type="dxa"/>
              <w:left w:w="110" w:type="dxa"/>
              <w:bottom w:w="90" w:type="dxa"/>
              <w:right w:w="110" w:type="dxa"/>
            </w:tcMar>
            <w:vAlign w:val="center"/>
          </w:tcPr>
          <w:p w:rsidR="007508D1" w:rsidRDefault="00000000">
            <w:pPr>
              <w:spacing w:after="0" w:line="259" w:lineRule="auto"/>
            </w:pPr>
            <w:r>
              <w:rPr>
                <w:sz w:val="16"/>
              </w:rPr>
              <w:t>Record remuneration and recurring earnings/deductions, prepare draft payroll calculations and employee payslips, and retain bank details for record purposes.</w:t>
            </w:r>
          </w:p>
        </w:tc>
        <w:tc>
          <w:tcPr>
            <w:tcW w:w="2880" w:type="dxa"/>
            <w:tcBorders>
              <w:top w:val="single" w:sz="5" w:space="0" w:color="D9E2E6"/>
              <w:left w:val="single" w:sz="5" w:space="0" w:color="D9E2E6"/>
              <w:bottom w:val="single" w:sz="5" w:space="0" w:color="D9E2E6"/>
              <w:right w:val="single" w:sz="5" w:space="0" w:color="D9E2E6"/>
            </w:tcBorders>
            <w:shd w:val="clear" w:color="auto" w:fill="F2F6F7"/>
            <w:tcMar>
              <w:top w:w="90" w:type="dxa"/>
              <w:left w:w="110" w:type="dxa"/>
              <w:bottom w:w="90" w:type="dxa"/>
              <w:right w:w="110" w:type="dxa"/>
            </w:tcMar>
            <w:vAlign w:val="center"/>
          </w:tcPr>
          <w:p w:rsidR="007508D1" w:rsidRDefault="00000000">
            <w:pPr>
              <w:spacing w:after="0" w:line="259" w:lineRule="auto"/>
            </w:pPr>
            <w:r>
              <w:rPr>
                <w:sz w:val="16"/>
              </w:rPr>
              <w:t>Documentation and payslips only—no bank transfers. TTA supplies and validates local statutory rules and effective rates.</w:t>
            </w:r>
          </w:p>
        </w:tc>
      </w:tr>
      <w:tr w:rsidR="007508D1">
        <w:trPr>
          <w:cantSplit/>
          <w:jc w:val="center"/>
        </w:trPr>
        <w:tc>
          <w:tcPr>
            <w:tcW w:w="1728" w:type="dxa"/>
            <w:tcBorders>
              <w:top w:val="single" w:sz="5" w:space="0" w:color="D9E2E6"/>
              <w:left w:val="single" w:sz="5" w:space="0" w:color="D9E2E6"/>
              <w:bottom w:val="single" w:sz="5" w:space="0" w:color="D9E2E6"/>
              <w:right w:val="single" w:sz="5" w:space="0" w:color="D9E2E6"/>
            </w:tcBorders>
            <w:shd w:val="clear" w:color="auto" w:fill="FFFFFF"/>
            <w:tcMar>
              <w:top w:w="90" w:type="dxa"/>
              <w:left w:w="110" w:type="dxa"/>
              <w:bottom w:w="90" w:type="dxa"/>
              <w:right w:w="110" w:type="dxa"/>
            </w:tcMar>
            <w:vAlign w:val="center"/>
          </w:tcPr>
          <w:p w:rsidR="007508D1" w:rsidRDefault="00000000">
            <w:pPr>
              <w:spacing w:after="0" w:line="259" w:lineRule="auto"/>
            </w:pPr>
            <w:r>
              <w:rPr>
                <w:b/>
                <w:sz w:val="16"/>
              </w:rPr>
              <w:t>Expenses &amp; finance controls</w:t>
            </w:r>
          </w:p>
        </w:tc>
        <w:tc>
          <w:tcPr>
            <w:tcW w:w="4824" w:type="dxa"/>
            <w:tcBorders>
              <w:top w:val="single" w:sz="5" w:space="0" w:color="D9E2E6"/>
              <w:left w:val="single" w:sz="5" w:space="0" w:color="D9E2E6"/>
              <w:bottom w:val="single" w:sz="5" w:space="0" w:color="D9E2E6"/>
              <w:right w:val="single" w:sz="5" w:space="0" w:color="D9E2E6"/>
            </w:tcBorders>
            <w:shd w:val="clear" w:color="auto" w:fill="FFFFFF"/>
            <w:tcMar>
              <w:top w:w="90" w:type="dxa"/>
              <w:left w:w="110" w:type="dxa"/>
              <w:bottom w:w="90" w:type="dxa"/>
              <w:right w:w="110" w:type="dxa"/>
            </w:tcMar>
            <w:vAlign w:val="center"/>
          </w:tcPr>
          <w:p w:rsidR="007508D1" w:rsidRDefault="00000000">
            <w:pPr>
              <w:spacing w:after="0" w:line="259" w:lineRule="auto"/>
            </w:pPr>
            <w:r>
              <w:rPr>
                <w:sz w:val="16"/>
              </w:rPr>
              <w:t>Submit claims with receipts, apply organization expense limits/receipt rules, export authorized expense data, and monitor budgets and approval status.</w:t>
            </w:r>
          </w:p>
        </w:tc>
        <w:tc>
          <w:tcPr>
            <w:tcW w:w="2880" w:type="dxa"/>
            <w:tcBorders>
              <w:top w:val="single" w:sz="5" w:space="0" w:color="D9E2E6"/>
              <w:left w:val="single" w:sz="5" w:space="0" w:color="D9E2E6"/>
              <w:bottom w:val="single" w:sz="5" w:space="0" w:color="D9E2E6"/>
              <w:right w:val="single" w:sz="5" w:space="0" w:color="D9E2E6"/>
            </w:tcBorders>
            <w:shd w:val="clear" w:color="auto" w:fill="FFFFFF"/>
            <w:tcMar>
              <w:top w:w="90" w:type="dxa"/>
              <w:left w:w="110" w:type="dxa"/>
              <w:bottom w:w="90" w:type="dxa"/>
              <w:right w:w="110" w:type="dxa"/>
            </w:tcMar>
            <w:vAlign w:val="center"/>
          </w:tcPr>
          <w:p w:rsidR="007508D1" w:rsidRDefault="00000000">
            <w:pPr>
              <w:spacing w:after="0" w:line="259" w:lineRule="auto"/>
            </w:pPr>
            <w:r>
              <w:rPr>
                <w:sz w:val="16"/>
              </w:rPr>
              <w:t>Policy controls support—not replace—finance review, accounting controls or tax advice.</w:t>
            </w:r>
          </w:p>
        </w:tc>
      </w:tr>
      <w:tr w:rsidR="007508D1">
        <w:trPr>
          <w:cantSplit/>
          <w:jc w:val="center"/>
        </w:trPr>
        <w:tc>
          <w:tcPr>
            <w:tcW w:w="1728" w:type="dxa"/>
            <w:tcBorders>
              <w:top w:val="single" w:sz="5" w:space="0" w:color="D9E2E6"/>
              <w:left w:val="single" w:sz="5" w:space="0" w:color="D9E2E6"/>
              <w:bottom w:val="single" w:sz="5" w:space="0" w:color="D9E2E6"/>
              <w:right w:val="single" w:sz="5" w:space="0" w:color="D9E2E6"/>
            </w:tcBorders>
            <w:shd w:val="clear" w:color="auto" w:fill="F2F6F7"/>
            <w:tcMar>
              <w:top w:w="90" w:type="dxa"/>
              <w:left w:w="110" w:type="dxa"/>
              <w:bottom w:w="90" w:type="dxa"/>
              <w:right w:w="110" w:type="dxa"/>
            </w:tcMar>
            <w:vAlign w:val="center"/>
          </w:tcPr>
          <w:p w:rsidR="007508D1" w:rsidRDefault="00000000">
            <w:pPr>
              <w:spacing w:after="0" w:line="259" w:lineRule="auto"/>
            </w:pPr>
            <w:r>
              <w:rPr>
                <w:b/>
                <w:sz w:val="16"/>
              </w:rPr>
              <w:t>Requests &amp; approvals</w:t>
            </w:r>
          </w:p>
        </w:tc>
        <w:tc>
          <w:tcPr>
            <w:tcW w:w="4824" w:type="dxa"/>
            <w:tcBorders>
              <w:top w:val="single" w:sz="5" w:space="0" w:color="D9E2E6"/>
              <w:left w:val="single" w:sz="5" w:space="0" w:color="D9E2E6"/>
              <w:bottom w:val="single" w:sz="5" w:space="0" w:color="D9E2E6"/>
              <w:right w:val="single" w:sz="5" w:space="0" w:color="D9E2E6"/>
            </w:tcBorders>
            <w:shd w:val="clear" w:color="auto" w:fill="F2F6F7"/>
            <w:tcMar>
              <w:top w:w="90" w:type="dxa"/>
              <w:left w:w="110" w:type="dxa"/>
              <w:bottom w:w="90" w:type="dxa"/>
              <w:right w:w="110" w:type="dxa"/>
            </w:tcMar>
            <w:vAlign w:val="center"/>
          </w:tcPr>
          <w:p w:rsidR="007508D1" w:rsidRDefault="00000000">
            <w:pPr>
              <w:spacing w:after="0" w:line="259" w:lineRule="auto"/>
            </w:pPr>
            <w:r>
              <w:rPr>
                <w:sz w:val="16"/>
              </w:rPr>
              <w:t>Route financial requests to the CEO first, with an agreed second-level fallback; route other requests by configured role. Return submissions for edits with notes and retain decision history.</w:t>
            </w:r>
          </w:p>
        </w:tc>
        <w:tc>
          <w:tcPr>
            <w:tcW w:w="2880" w:type="dxa"/>
            <w:tcBorders>
              <w:top w:val="single" w:sz="5" w:space="0" w:color="D9E2E6"/>
              <w:left w:val="single" w:sz="5" w:space="0" w:color="D9E2E6"/>
              <w:bottom w:val="single" w:sz="5" w:space="0" w:color="D9E2E6"/>
              <w:right w:val="single" w:sz="5" w:space="0" w:color="D9E2E6"/>
            </w:tcBorders>
            <w:shd w:val="clear" w:color="auto" w:fill="F2F6F7"/>
            <w:tcMar>
              <w:top w:w="90" w:type="dxa"/>
              <w:left w:w="110" w:type="dxa"/>
              <w:bottom w:w="90" w:type="dxa"/>
              <w:right w:w="110" w:type="dxa"/>
            </w:tcMar>
            <w:vAlign w:val="center"/>
          </w:tcPr>
          <w:p w:rsidR="007508D1" w:rsidRDefault="00000000">
            <w:pPr>
              <w:spacing w:after="0" w:line="259" w:lineRule="auto"/>
            </w:pPr>
            <w:r>
              <w:rPr>
                <w:sz w:val="16"/>
              </w:rPr>
              <w:t>Workflow rules and approver availability process should be signed off by TTA before go-live.</w:t>
            </w:r>
          </w:p>
        </w:tc>
      </w:tr>
      <w:tr w:rsidR="007508D1">
        <w:trPr>
          <w:cantSplit/>
          <w:jc w:val="center"/>
        </w:trPr>
        <w:tc>
          <w:tcPr>
            <w:tcW w:w="1728" w:type="dxa"/>
            <w:tcBorders>
              <w:top w:val="single" w:sz="5" w:space="0" w:color="D9E2E6"/>
              <w:left w:val="single" w:sz="5" w:space="0" w:color="D9E2E6"/>
              <w:bottom w:val="single" w:sz="5" w:space="0" w:color="D9E2E6"/>
              <w:right w:val="single" w:sz="5" w:space="0" w:color="D9E2E6"/>
            </w:tcBorders>
            <w:shd w:val="clear" w:color="auto" w:fill="FFFFFF"/>
            <w:tcMar>
              <w:top w:w="90" w:type="dxa"/>
              <w:left w:w="110" w:type="dxa"/>
              <w:bottom w:w="90" w:type="dxa"/>
              <w:right w:w="110" w:type="dxa"/>
            </w:tcMar>
            <w:vAlign w:val="center"/>
          </w:tcPr>
          <w:p w:rsidR="007508D1" w:rsidRDefault="00000000">
            <w:pPr>
              <w:spacing w:after="0" w:line="259" w:lineRule="auto"/>
            </w:pPr>
            <w:r>
              <w:rPr>
                <w:b/>
                <w:sz w:val="16"/>
              </w:rPr>
              <w:t>Operations workspace</w:t>
            </w:r>
          </w:p>
        </w:tc>
        <w:tc>
          <w:tcPr>
            <w:tcW w:w="4824" w:type="dxa"/>
            <w:tcBorders>
              <w:top w:val="single" w:sz="5" w:space="0" w:color="D9E2E6"/>
              <w:left w:val="single" w:sz="5" w:space="0" w:color="D9E2E6"/>
              <w:bottom w:val="single" w:sz="5" w:space="0" w:color="D9E2E6"/>
              <w:right w:val="single" w:sz="5" w:space="0" w:color="D9E2E6"/>
            </w:tcBorders>
            <w:shd w:val="clear" w:color="auto" w:fill="FFFFFF"/>
            <w:tcMar>
              <w:top w:w="90" w:type="dxa"/>
              <w:left w:w="110" w:type="dxa"/>
              <w:bottom w:w="90" w:type="dxa"/>
              <w:right w:w="110" w:type="dxa"/>
            </w:tcMar>
            <w:vAlign w:val="center"/>
          </w:tcPr>
          <w:p w:rsidR="007508D1" w:rsidRDefault="00000000">
            <w:pPr>
              <w:spacing w:after="0" w:line="259" w:lineRule="auto"/>
            </w:pPr>
            <w:r>
              <w:rPr>
                <w:sz w:val="16"/>
              </w:rPr>
              <w:t>Coordinate projects and tasks; maintain vendors, assets and helpdesk tickets; schedule internal events; track customers and operational requests.</w:t>
            </w:r>
          </w:p>
        </w:tc>
        <w:tc>
          <w:tcPr>
            <w:tcW w:w="2880" w:type="dxa"/>
            <w:tcBorders>
              <w:top w:val="single" w:sz="5" w:space="0" w:color="D9E2E6"/>
              <w:left w:val="single" w:sz="5" w:space="0" w:color="D9E2E6"/>
              <w:bottom w:val="single" w:sz="5" w:space="0" w:color="D9E2E6"/>
              <w:right w:val="single" w:sz="5" w:space="0" w:color="D9E2E6"/>
            </w:tcBorders>
            <w:shd w:val="clear" w:color="auto" w:fill="FFFFFF"/>
            <w:tcMar>
              <w:top w:w="90" w:type="dxa"/>
              <w:left w:w="110" w:type="dxa"/>
              <w:bottom w:w="90" w:type="dxa"/>
              <w:right w:w="110" w:type="dxa"/>
            </w:tcMar>
            <w:vAlign w:val="center"/>
          </w:tcPr>
          <w:p w:rsidR="007508D1" w:rsidRDefault="00000000">
            <w:pPr>
              <w:spacing w:after="0" w:line="259" w:lineRule="auto"/>
            </w:pPr>
            <w:r>
              <w:rPr>
                <w:sz w:val="16"/>
              </w:rPr>
              <w:t>These are back-office registers and coordination tools, not shipment execution or fleet telematics.</w:t>
            </w:r>
          </w:p>
        </w:tc>
      </w:tr>
      <w:tr w:rsidR="007508D1">
        <w:trPr>
          <w:cantSplit/>
          <w:jc w:val="center"/>
        </w:trPr>
        <w:tc>
          <w:tcPr>
            <w:tcW w:w="1728" w:type="dxa"/>
            <w:tcBorders>
              <w:top w:val="single" w:sz="5" w:space="0" w:color="D9E2E6"/>
              <w:left w:val="single" w:sz="5" w:space="0" w:color="D9E2E6"/>
              <w:bottom w:val="single" w:sz="5" w:space="0" w:color="D9E2E6"/>
              <w:right w:val="single" w:sz="5" w:space="0" w:color="D9E2E6"/>
            </w:tcBorders>
            <w:shd w:val="clear" w:color="auto" w:fill="F2F6F7"/>
            <w:tcMar>
              <w:top w:w="90" w:type="dxa"/>
              <w:left w:w="110" w:type="dxa"/>
              <w:bottom w:w="90" w:type="dxa"/>
              <w:right w:w="110" w:type="dxa"/>
            </w:tcMar>
            <w:vAlign w:val="center"/>
          </w:tcPr>
          <w:p w:rsidR="007508D1" w:rsidRDefault="00000000">
            <w:pPr>
              <w:spacing w:after="0" w:line="259" w:lineRule="auto"/>
            </w:pPr>
            <w:r>
              <w:rPr>
                <w:b/>
                <w:sz w:val="16"/>
              </w:rPr>
              <w:t>Reporting &amp; governance</w:t>
            </w:r>
          </w:p>
        </w:tc>
        <w:tc>
          <w:tcPr>
            <w:tcW w:w="4824" w:type="dxa"/>
            <w:tcBorders>
              <w:top w:val="single" w:sz="5" w:space="0" w:color="D9E2E6"/>
              <w:left w:val="single" w:sz="5" w:space="0" w:color="D9E2E6"/>
              <w:bottom w:val="single" w:sz="5" w:space="0" w:color="D9E2E6"/>
              <w:right w:val="single" w:sz="5" w:space="0" w:color="D9E2E6"/>
            </w:tcBorders>
            <w:shd w:val="clear" w:color="auto" w:fill="F2F6F7"/>
            <w:tcMar>
              <w:top w:w="90" w:type="dxa"/>
              <w:left w:w="110" w:type="dxa"/>
              <w:bottom w:w="90" w:type="dxa"/>
              <w:right w:w="110" w:type="dxa"/>
            </w:tcMar>
            <w:vAlign w:val="center"/>
          </w:tcPr>
          <w:p w:rsidR="007508D1" w:rsidRDefault="00000000">
            <w:pPr>
              <w:spacing w:after="0" w:line="259" w:lineRule="auto"/>
            </w:pPr>
            <w:r>
              <w:rPr>
                <w:sz w:val="16"/>
              </w:rPr>
              <w:t>Use role-scoped dashboards, exportable records, audit activity, in-app notifications and Brevo email notifications to support oversight.</w:t>
            </w:r>
          </w:p>
        </w:tc>
        <w:tc>
          <w:tcPr>
            <w:tcW w:w="2880" w:type="dxa"/>
            <w:tcBorders>
              <w:top w:val="single" w:sz="5" w:space="0" w:color="D9E2E6"/>
              <w:left w:val="single" w:sz="5" w:space="0" w:color="D9E2E6"/>
              <w:bottom w:val="single" w:sz="5" w:space="0" w:color="D9E2E6"/>
              <w:right w:val="single" w:sz="5" w:space="0" w:color="D9E2E6"/>
            </w:tcBorders>
            <w:shd w:val="clear" w:color="auto" w:fill="F2F6F7"/>
            <w:tcMar>
              <w:top w:w="90" w:type="dxa"/>
              <w:left w:w="110" w:type="dxa"/>
              <w:bottom w:w="90" w:type="dxa"/>
              <w:right w:w="110" w:type="dxa"/>
            </w:tcMar>
            <w:vAlign w:val="center"/>
          </w:tcPr>
          <w:p w:rsidR="007508D1" w:rsidRDefault="00000000">
            <w:pPr>
              <w:spacing w:after="0" w:line="259" w:lineRule="auto"/>
            </w:pPr>
            <w:r>
              <w:t>Deployment validates reports against TTA’s source-of-truth definitions; no regulatory certification is represented.</w:t>
            </w:r>
          </w:p>
        </w:tc>
      </w:tr>
    </w:tbl>
    <w:p w:rsidR="007508D1" w:rsidRDefault="007508D1">
      <w:pPr>
        <w:spacing w:after="20"/>
      </w:pPr>
    </w:p>
    <w:p w:rsidR="007508D1" w:rsidRDefault="00000000">
      <w:pPr>
        <w:pStyle w:val="Heading2"/>
      </w:pPr>
      <w:r>
        <w:t>Companywide approval design</w:t>
      </w:r>
    </w:p>
    <w:p w:rsidR="007508D1" w:rsidRDefault="00000000">
      <w:r>
        <w:t>The proposed financial control is CEO-first. When the CEO is unavailable, the request moves to the organization’s designated second-level approver; HR is the default fallback in the current workflow, but TTA should confirm whether this is appropriate for each financial category. HR and Organization Admin users can configure approval routing. Approvers may return a request for edits with a note; the requester can revise and resubmit, with decisions retained in the request history.</w:t>
      </w:r>
    </w:p>
    <w:p w:rsidR="007508D1" w:rsidRDefault="00000000">
      <w:r>
        <w:t>Before activation, TTA should document categories, monetary thresholds, the CEO and fallback approver(s), any segregation-of-duties restrictions, escalation timing, and who can amend workflow rules. The companywide rollout will verify ordinary and exception paths—including approver unavailability and returned requests—before go-live.</w:t>
      </w:r>
    </w:p>
    <w:p w:rsidR="007508D1" w:rsidRDefault="00000000">
      <w:pPr>
        <w:pStyle w:val="Heading1"/>
      </w:pPr>
      <w:r>
        <w:t>How the platform fits—and where it does not</w:t>
      </w:r>
    </w:p>
    <w:p w:rsidR="007508D1" w:rsidRDefault="00000000">
      <w:r>
        <w:t>Zyntris Operations is designed to manage the internal operating system around a logistics business: people, approvals, spend, team execution, records and accountability. It can complement Transport Tech Africa’s existing transport, freight-forwarding, customer, accounting and fleet systems.</w:t>
      </w:r>
    </w:p>
    <w:p w:rsidR="007508D1" w:rsidRDefault="00000000">
      <w:r>
        <w:t>The current product should not be represented as a transport management system. Native shipment booking and tracking, route optimization, GPS/telematics, fleet dispatch, fuel analytics, customs clearance, demurrage/detention calculation and carrier integrations are not included in this proposal’s confirmed scope. If TTA wants these workflows connected, we would first map the systems, data ownership, APIs or exports, and integration effort; any such work would be separately scoped.</w:t>
      </w:r>
    </w:p>
    <w:tbl>
      <w:tblPr>
        <w:tblW w:w="0" w:type="auto"/>
        <w:jc w:val="center"/>
        <w:tblLayout w:type="fixed"/>
        <w:tblLook w:val="04A0" w:firstRow="1" w:lastRow="0" w:firstColumn="1" w:lastColumn="0" w:noHBand="0" w:noVBand="1"/>
      </w:tblPr>
      <w:tblGrid>
        <w:gridCol w:w="4939"/>
        <w:gridCol w:w="4939"/>
      </w:tblGrid>
      <w:tr w:rsidR="007508D1">
        <w:trPr>
          <w:cantSplit/>
          <w:tblHeader/>
          <w:jc w:val="center"/>
        </w:trPr>
        <w:tc>
          <w:tcPr>
            <w:tcW w:w="4939" w:type="dxa"/>
            <w:tcBorders>
              <w:top w:val="single" w:sz="4" w:space="0" w:color="143642"/>
              <w:left w:val="single" w:sz="4" w:space="0" w:color="143642"/>
              <w:bottom w:val="single" w:sz="4" w:space="0" w:color="143642"/>
              <w:right w:val="single" w:sz="4" w:space="0" w:color="143642"/>
            </w:tcBorders>
            <w:shd w:val="clear" w:color="auto" w:fill="143642"/>
            <w:tcMar>
              <w:top w:w="90" w:type="dxa"/>
              <w:left w:w="110" w:type="dxa"/>
              <w:bottom w:w="90" w:type="dxa"/>
              <w:right w:w="110" w:type="dxa"/>
            </w:tcMar>
            <w:vAlign w:val="center"/>
          </w:tcPr>
          <w:p w:rsidR="007508D1" w:rsidRDefault="00000000">
            <w:pPr>
              <w:spacing w:after="0" w:line="259" w:lineRule="auto"/>
            </w:pPr>
            <w:r>
              <w:rPr>
                <w:b/>
                <w:color w:val="FFFFFF"/>
                <w:sz w:val="17"/>
              </w:rPr>
              <w:t>IN CURRENT PROPOSAL</w:t>
            </w:r>
          </w:p>
        </w:tc>
        <w:tc>
          <w:tcPr>
            <w:tcW w:w="4939" w:type="dxa"/>
            <w:tcBorders>
              <w:top w:val="single" w:sz="4" w:space="0" w:color="143642"/>
              <w:left w:val="single" w:sz="4" w:space="0" w:color="143642"/>
              <w:bottom w:val="single" w:sz="4" w:space="0" w:color="143642"/>
              <w:right w:val="single" w:sz="4" w:space="0" w:color="143642"/>
            </w:tcBorders>
            <w:shd w:val="clear" w:color="auto" w:fill="143642"/>
            <w:tcMar>
              <w:top w:w="90" w:type="dxa"/>
              <w:left w:w="110" w:type="dxa"/>
              <w:bottom w:w="90" w:type="dxa"/>
              <w:right w:w="110" w:type="dxa"/>
            </w:tcMar>
            <w:vAlign w:val="center"/>
          </w:tcPr>
          <w:p w:rsidR="007508D1" w:rsidRDefault="00000000">
            <w:pPr>
              <w:spacing w:after="0" w:line="259" w:lineRule="auto"/>
            </w:pPr>
            <w:r>
              <w:rPr>
                <w:b/>
                <w:color w:val="FFFFFF"/>
                <w:sz w:val="17"/>
              </w:rPr>
              <w:t>NOT ASSUMED / REQUIRES SEPARATE DISCOVERY</w:t>
            </w:r>
          </w:p>
        </w:tc>
      </w:tr>
      <w:tr w:rsidR="007508D1">
        <w:trPr>
          <w:cantSplit/>
          <w:jc w:val="center"/>
        </w:trPr>
        <w:tc>
          <w:tcPr>
            <w:tcW w:w="4680" w:type="dxa"/>
            <w:tcBorders>
              <w:top w:val="single" w:sz="5" w:space="0" w:color="D9E2E6"/>
              <w:left w:val="single" w:sz="5" w:space="0" w:color="D9E2E6"/>
              <w:bottom w:val="single" w:sz="5" w:space="0" w:color="D9E2E6"/>
              <w:right w:val="single" w:sz="5" w:space="0" w:color="D9E2E6"/>
            </w:tcBorders>
            <w:shd w:val="clear" w:color="auto" w:fill="F2F6F7"/>
            <w:tcMar>
              <w:top w:w="90" w:type="dxa"/>
              <w:left w:w="110" w:type="dxa"/>
              <w:bottom w:w="90" w:type="dxa"/>
              <w:right w:w="110" w:type="dxa"/>
            </w:tcMar>
            <w:vAlign w:val="center"/>
          </w:tcPr>
          <w:p w:rsidR="007508D1" w:rsidRDefault="00000000">
            <w:pPr>
              <w:spacing w:after="0" w:line="259" w:lineRule="auto"/>
            </w:pPr>
            <w:r>
              <w:rPr>
                <w:b/>
                <w:sz w:val="16"/>
              </w:rPr>
              <w:t>Employee administration, leave, attendance, payroll documentation, expenses, requests, approvals, budgets, tasks, projects and operational registers.</w:t>
            </w:r>
          </w:p>
        </w:tc>
        <w:tc>
          <w:tcPr>
            <w:tcW w:w="4752" w:type="dxa"/>
            <w:tcBorders>
              <w:top w:val="single" w:sz="5" w:space="0" w:color="D9E2E6"/>
              <w:left w:val="single" w:sz="5" w:space="0" w:color="D9E2E6"/>
              <w:bottom w:val="single" w:sz="5" w:space="0" w:color="D9E2E6"/>
              <w:right w:val="single" w:sz="5" w:space="0" w:color="D9E2E6"/>
            </w:tcBorders>
            <w:shd w:val="clear" w:color="auto" w:fill="F2F6F7"/>
            <w:tcMar>
              <w:top w:w="90" w:type="dxa"/>
              <w:left w:w="110" w:type="dxa"/>
              <w:bottom w:w="90" w:type="dxa"/>
              <w:right w:w="110" w:type="dxa"/>
            </w:tcMar>
            <w:vAlign w:val="center"/>
          </w:tcPr>
          <w:p w:rsidR="007508D1" w:rsidRDefault="00000000">
            <w:pPr>
              <w:spacing w:after="0" w:line="259" w:lineRule="auto"/>
            </w:pPr>
            <w:r>
              <w:rPr>
                <w:sz w:val="16"/>
              </w:rPr>
              <w:t>Shipment lifecycle, freight costing, route/fleet optimization, live vehicle location, customs and external carrier status.</w:t>
            </w:r>
          </w:p>
        </w:tc>
      </w:tr>
      <w:tr w:rsidR="007508D1">
        <w:trPr>
          <w:cantSplit/>
          <w:jc w:val="center"/>
        </w:trPr>
        <w:tc>
          <w:tcPr>
            <w:tcW w:w="4680" w:type="dxa"/>
            <w:tcBorders>
              <w:top w:val="single" w:sz="5" w:space="0" w:color="D9E2E6"/>
              <w:left w:val="single" w:sz="5" w:space="0" w:color="D9E2E6"/>
              <w:bottom w:val="single" w:sz="5" w:space="0" w:color="D9E2E6"/>
              <w:right w:val="single" w:sz="5" w:space="0" w:color="D9E2E6"/>
            </w:tcBorders>
            <w:shd w:val="clear" w:color="auto" w:fill="FFFFFF"/>
            <w:tcMar>
              <w:top w:w="90" w:type="dxa"/>
              <w:left w:w="110" w:type="dxa"/>
              <w:bottom w:w="90" w:type="dxa"/>
              <w:right w:w="110" w:type="dxa"/>
            </w:tcMar>
            <w:vAlign w:val="center"/>
          </w:tcPr>
          <w:p w:rsidR="007508D1" w:rsidRDefault="00000000">
            <w:pPr>
              <w:spacing w:after="0" w:line="259" w:lineRule="auto"/>
            </w:pPr>
            <w:r>
              <w:rPr>
                <w:b/>
                <w:sz w:val="16"/>
              </w:rPr>
              <w:t>Tenant-scoped workspace, access roles, audit history, email and in-app notices.</w:t>
            </w:r>
          </w:p>
        </w:tc>
        <w:tc>
          <w:tcPr>
            <w:tcW w:w="4752" w:type="dxa"/>
            <w:tcBorders>
              <w:top w:val="single" w:sz="5" w:space="0" w:color="D9E2E6"/>
              <w:left w:val="single" w:sz="5" w:space="0" w:color="D9E2E6"/>
              <w:bottom w:val="single" w:sz="5" w:space="0" w:color="D9E2E6"/>
              <w:right w:val="single" w:sz="5" w:space="0" w:color="D9E2E6"/>
            </w:tcBorders>
            <w:shd w:val="clear" w:color="auto" w:fill="FFFFFF"/>
            <w:tcMar>
              <w:top w:w="90" w:type="dxa"/>
              <w:left w:w="110" w:type="dxa"/>
              <w:bottom w:w="90" w:type="dxa"/>
              <w:right w:w="110" w:type="dxa"/>
            </w:tcMar>
            <w:vAlign w:val="center"/>
          </w:tcPr>
          <w:p w:rsidR="007508D1" w:rsidRDefault="00000000">
            <w:pPr>
              <w:spacing w:after="0" w:line="259" w:lineRule="auto"/>
            </w:pPr>
            <w:r>
              <w:rPr>
                <w:sz w:val="16"/>
              </w:rPr>
              <w:t>Google/Outlook two-way calendar sync, app-store publication and operating-system push notifications.</w:t>
            </w:r>
          </w:p>
        </w:tc>
      </w:tr>
      <w:tr w:rsidR="007508D1">
        <w:trPr>
          <w:cantSplit/>
          <w:jc w:val="center"/>
        </w:trPr>
        <w:tc>
          <w:tcPr>
            <w:tcW w:w="4680" w:type="dxa"/>
            <w:tcBorders>
              <w:top w:val="single" w:sz="5" w:space="0" w:color="D9E2E6"/>
              <w:left w:val="single" w:sz="5" w:space="0" w:color="D9E2E6"/>
              <w:bottom w:val="single" w:sz="5" w:space="0" w:color="D9E2E6"/>
              <w:right w:val="single" w:sz="5" w:space="0" w:color="D9E2E6"/>
            </w:tcBorders>
            <w:shd w:val="clear" w:color="auto" w:fill="F2F6F7"/>
            <w:tcMar>
              <w:top w:w="90" w:type="dxa"/>
              <w:left w:w="110" w:type="dxa"/>
              <w:bottom w:w="90" w:type="dxa"/>
              <w:right w:w="110" w:type="dxa"/>
            </w:tcMar>
            <w:vAlign w:val="center"/>
          </w:tcPr>
          <w:p w:rsidR="007508D1" w:rsidRDefault="00000000">
            <w:pPr>
              <w:spacing w:after="0" w:line="259" w:lineRule="auto"/>
            </w:pPr>
            <w:r>
              <w:rPr>
                <w:b/>
                <w:sz w:val="16"/>
              </w:rPr>
              <w:lastRenderedPageBreak/>
              <w:t>Manual, sales-led subscription activation through Zyntris Business Development.</w:t>
            </w:r>
          </w:p>
        </w:tc>
        <w:tc>
          <w:tcPr>
            <w:tcW w:w="4752" w:type="dxa"/>
            <w:tcBorders>
              <w:top w:val="single" w:sz="5" w:space="0" w:color="D9E2E6"/>
              <w:left w:val="single" w:sz="5" w:space="0" w:color="D9E2E6"/>
              <w:bottom w:val="single" w:sz="5" w:space="0" w:color="D9E2E6"/>
              <w:right w:val="single" w:sz="5" w:space="0" w:color="D9E2E6"/>
            </w:tcBorders>
            <w:shd w:val="clear" w:color="auto" w:fill="F2F6F7"/>
            <w:tcMar>
              <w:top w:w="90" w:type="dxa"/>
              <w:left w:w="110" w:type="dxa"/>
              <w:bottom w:w="90" w:type="dxa"/>
              <w:right w:w="110" w:type="dxa"/>
            </w:tcMar>
            <w:vAlign w:val="center"/>
          </w:tcPr>
          <w:p w:rsidR="007508D1" w:rsidRDefault="00000000">
            <w:pPr>
              <w:spacing w:after="0" w:line="259" w:lineRule="auto"/>
            </w:pPr>
            <w:r>
              <w:rPr>
                <w:sz w:val="16"/>
              </w:rPr>
              <w:t>Online checkout or automatic subscription collection; these are not part of the platform workflow.</w:t>
            </w:r>
          </w:p>
        </w:tc>
      </w:tr>
    </w:tbl>
    <w:p w:rsidR="007508D1" w:rsidRDefault="007508D1">
      <w:pPr>
        <w:spacing w:after="20"/>
      </w:pPr>
    </w:p>
    <w:p w:rsidR="007508D1" w:rsidRDefault="00000000">
      <w:pPr>
        <w:pStyle w:val="Heading1"/>
      </w:pPr>
      <w:r>
        <w:t>Companywide implementation and rollout</w:t>
      </w:r>
    </w:p>
    <w:p w:rsidR="007508D1" w:rsidRDefault="00000000">
      <w:r>
        <w:t>A 4–6 week companywide implementation window is an initial planning estimate, subject to discovery, data readiness, stakeholder availability and any integration requirements. The detailed schedule and scope will be confirmed jointly at project initiation.</w:t>
      </w:r>
    </w:p>
    <w:tbl>
      <w:tblPr>
        <w:tblW w:w="0" w:type="auto"/>
        <w:jc w:val="center"/>
        <w:tblLayout w:type="fixed"/>
        <w:tblLook w:val="04A0" w:firstRow="1" w:lastRow="0" w:firstColumn="1" w:lastColumn="0" w:noHBand="0" w:noVBand="1"/>
      </w:tblPr>
      <w:tblGrid>
        <w:gridCol w:w="3293"/>
        <w:gridCol w:w="5184"/>
        <w:gridCol w:w="3293"/>
      </w:tblGrid>
      <w:tr w:rsidR="007508D1">
        <w:trPr>
          <w:cantSplit/>
          <w:tblHeader/>
          <w:jc w:val="center"/>
        </w:trPr>
        <w:tc>
          <w:tcPr>
            <w:tcW w:w="3293" w:type="dxa"/>
            <w:tcBorders>
              <w:top w:val="single" w:sz="4" w:space="0" w:color="143642"/>
              <w:left w:val="single" w:sz="4" w:space="0" w:color="143642"/>
              <w:bottom w:val="single" w:sz="4" w:space="0" w:color="143642"/>
              <w:right w:val="single" w:sz="4" w:space="0" w:color="143642"/>
            </w:tcBorders>
            <w:shd w:val="clear" w:color="auto" w:fill="143642"/>
            <w:tcMar>
              <w:top w:w="90" w:type="dxa"/>
              <w:left w:w="110" w:type="dxa"/>
              <w:bottom w:w="90" w:type="dxa"/>
              <w:right w:w="110" w:type="dxa"/>
            </w:tcMar>
            <w:vAlign w:val="center"/>
          </w:tcPr>
          <w:p w:rsidR="007508D1" w:rsidRDefault="00000000">
            <w:pPr>
              <w:spacing w:after="0" w:line="259" w:lineRule="auto"/>
            </w:pPr>
            <w:r>
              <w:rPr>
                <w:b/>
                <w:color w:val="FFFFFF"/>
                <w:sz w:val="17"/>
              </w:rPr>
              <w:t>STAGE</w:t>
            </w:r>
          </w:p>
        </w:tc>
        <w:tc>
          <w:tcPr>
            <w:tcW w:w="3293" w:type="dxa"/>
            <w:tcBorders>
              <w:top w:val="single" w:sz="4" w:space="0" w:color="143642"/>
              <w:left w:val="single" w:sz="4" w:space="0" w:color="143642"/>
              <w:bottom w:val="single" w:sz="4" w:space="0" w:color="143642"/>
              <w:right w:val="single" w:sz="4" w:space="0" w:color="143642"/>
            </w:tcBorders>
            <w:shd w:val="clear" w:color="auto" w:fill="143642"/>
            <w:tcMar>
              <w:top w:w="90" w:type="dxa"/>
              <w:left w:w="110" w:type="dxa"/>
              <w:bottom w:w="90" w:type="dxa"/>
              <w:right w:w="110" w:type="dxa"/>
            </w:tcMar>
            <w:vAlign w:val="center"/>
          </w:tcPr>
          <w:p w:rsidR="007508D1" w:rsidRDefault="00000000">
            <w:pPr>
              <w:spacing w:after="0" w:line="259" w:lineRule="auto"/>
            </w:pPr>
            <w:r>
              <w:rPr>
                <w:b/>
                <w:color w:val="FFFFFF"/>
                <w:sz w:val="17"/>
              </w:rPr>
              <w:t>WORKING ACTIVITIES</w:t>
            </w:r>
          </w:p>
        </w:tc>
        <w:tc>
          <w:tcPr>
            <w:tcW w:w="3293" w:type="dxa"/>
            <w:tcBorders>
              <w:top w:val="single" w:sz="4" w:space="0" w:color="143642"/>
              <w:left w:val="single" w:sz="4" w:space="0" w:color="143642"/>
              <w:bottom w:val="single" w:sz="4" w:space="0" w:color="143642"/>
              <w:right w:val="single" w:sz="4" w:space="0" w:color="143642"/>
            </w:tcBorders>
            <w:shd w:val="clear" w:color="auto" w:fill="143642"/>
            <w:tcMar>
              <w:top w:w="90" w:type="dxa"/>
              <w:left w:w="110" w:type="dxa"/>
              <w:bottom w:w="90" w:type="dxa"/>
              <w:right w:w="110" w:type="dxa"/>
            </w:tcMar>
            <w:vAlign w:val="center"/>
          </w:tcPr>
          <w:p w:rsidR="007508D1" w:rsidRDefault="00000000">
            <w:pPr>
              <w:spacing w:after="0" w:line="259" w:lineRule="auto"/>
            </w:pPr>
            <w:r>
              <w:rPr>
                <w:b/>
                <w:color w:val="FFFFFF"/>
                <w:sz w:val="17"/>
              </w:rPr>
              <w:t>EXIT CHECK</w:t>
            </w:r>
          </w:p>
        </w:tc>
      </w:tr>
      <w:tr w:rsidR="007508D1">
        <w:trPr>
          <w:cantSplit/>
          <w:jc w:val="center"/>
        </w:trPr>
        <w:tc>
          <w:tcPr>
            <w:tcW w:w="1656" w:type="dxa"/>
            <w:tcBorders>
              <w:top w:val="single" w:sz="5" w:space="0" w:color="D9E2E6"/>
              <w:left w:val="single" w:sz="5" w:space="0" w:color="D9E2E6"/>
              <w:bottom w:val="single" w:sz="5" w:space="0" w:color="D9E2E6"/>
              <w:right w:val="single" w:sz="5" w:space="0" w:color="D9E2E6"/>
            </w:tcBorders>
            <w:shd w:val="clear" w:color="auto" w:fill="F2F6F7"/>
            <w:tcMar>
              <w:top w:w="90" w:type="dxa"/>
              <w:left w:w="110" w:type="dxa"/>
              <w:bottom w:w="90" w:type="dxa"/>
              <w:right w:w="110" w:type="dxa"/>
            </w:tcMar>
            <w:vAlign w:val="center"/>
          </w:tcPr>
          <w:p w:rsidR="007508D1" w:rsidRDefault="00000000">
            <w:pPr>
              <w:spacing w:after="0" w:line="259" w:lineRule="auto"/>
            </w:pPr>
            <w:r>
              <w:rPr>
                <w:b/>
                <w:sz w:val="16"/>
              </w:rPr>
              <w:t>1. Discover &amp; design</w:t>
            </w:r>
          </w:p>
        </w:tc>
        <w:tc>
          <w:tcPr>
            <w:tcW w:w="5184" w:type="dxa"/>
            <w:tcBorders>
              <w:top w:val="single" w:sz="5" w:space="0" w:color="D9E2E6"/>
              <w:left w:val="single" w:sz="5" w:space="0" w:color="D9E2E6"/>
              <w:bottom w:val="single" w:sz="5" w:space="0" w:color="D9E2E6"/>
              <w:right w:val="single" w:sz="5" w:space="0" w:color="D9E2E6"/>
            </w:tcBorders>
            <w:shd w:val="clear" w:color="auto" w:fill="F2F6F7"/>
            <w:tcMar>
              <w:top w:w="90" w:type="dxa"/>
              <w:left w:w="110" w:type="dxa"/>
              <w:bottom w:w="90" w:type="dxa"/>
              <w:right w:w="110" w:type="dxa"/>
            </w:tcMar>
            <w:vAlign w:val="center"/>
          </w:tcPr>
          <w:p w:rsidR="007508D1" w:rsidRDefault="00000000">
            <w:pPr>
              <w:spacing w:after="0" w:line="259" w:lineRule="auto"/>
            </w:pPr>
            <w:r>
              <w:t>Map all departments, workflows, roles, financial categories, leave rules, payroll inputs, reports and source systems. Confirm companywide data owners and user populations.</w:t>
            </w:r>
          </w:p>
        </w:tc>
        <w:tc>
          <w:tcPr>
            <w:tcW w:w="2592" w:type="dxa"/>
            <w:tcBorders>
              <w:top w:val="single" w:sz="5" w:space="0" w:color="D9E2E6"/>
              <w:left w:val="single" w:sz="5" w:space="0" w:color="D9E2E6"/>
              <w:bottom w:val="single" w:sz="5" w:space="0" w:color="D9E2E6"/>
              <w:right w:val="single" w:sz="5" w:space="0" w:color="D9E2E6"/>
            </w:tcBorders>
            <w:shd w:val="clear" w:color="auto" w:fill="F2F6F7"/>
            <w:tcMar>
              <w:top w:w="90" w:type="dxa"/>
              <w:left w:w="110" w:type="dxa"/>
              <w:bottom w:w="90" w:type="dxa"/>
              <w:right w:w="110" w:type="dxa"/>
            </w:tcMar>
            <w:vAlign w:val="center"/>
          </w:tcPr>
          <w:p w:rsidR="007508D1" w:rsidRDefault="00000000">
            <w:pPr>
              <w:spacing w:after="0" w:line="259" w:lineRule="auto"/>
            </w:pPr>
            <w:r>
              <w:t>Signed-off companywide scope, workflow map, access matrix and migration inventory.</w:t>
            </w:r>
          </w:p>
        </w:tc>
      </w:tr>
      <w:tr w:rsidR="007508D1">
        <w:trPr>
          <w:cantSplit/>
          <w:jc w:val="center"/>
        </w:trPr>
        <w:tc>
          <w:tcPr>
            <w:tcW w:w="1656" w:type="dxa"/>
            <w:tcBorders>
              <w:top w:val="single" w:sz="5" w:space="0" w:color="D9E2E6"/>
              <w:left w:val="single" w:sz="5" w:space="0" w:color="D9E2E6"/>
              <w:bottom w:val="single" w:sz="5" w:space="0" w:color="D9E2E6"/>
              <w:right w:val="single" w:sz="5" w:space="0" w:color="D9E2E6"/>
            </w:tcBorders>
            <w:shd w:val="clear" w:color="auto" w:fill="FFFFFF"/>
            <w:tcMar>
              <w:top w:w="90" w:type="dxa"/>
              <w:left w:w="110" w:type="dxa"/>
              <w:bottom w:w="90" w:type="dxa"/>
              <w:right w:w="110" w:type="dxa"/>
            </w:tcMar>
            <w:vAlign w:val="center"/>
          </w:tcPr>
          <w:p w:rsidR="007508D1" w:rsidRDefault="00000000">
            <w:pPr>
              <w:spacing w:after="0" w:line="259" w:lineRule="auto"/>
            </w:pPr>
            <w:r>
              <w:rPr>
                <w:b/>
                <w:sz w:val="16"/>
              </w:rPr>
              <w:t>2. Configure workspace</w:t>
            </w:r>
          </w:p>
        </w:tc>
        <w:tc>
          <w:tcPr>
            <w:tcW w:w="5184" w:type="dxa"/>
            <w:tcBorders>
              <w:top w:val="single" w:sz="5" w:space="0" w:color="D9E2E6"/>
              <w:left w:val="single" w:sz="5" w:space="0" w:color="D9E2E6"/>
              <w:bottom w:val="single" w:sz="5" w:space="0" w:color="D9E2E6"/>
              <w:right w:val="single" w:sz="5" w:space="0" w:color="D9E2E6"/>
            </w:tcBorders>
            <w:shd w:val="clear" w:color="auto" w:fill="FFFFFF"/>
            <w:tcMar>
              <w:top w:w="90" w:type="dxa"/>
              <w:left w:w="110" w:type="dxa"/>
              <w:bottom w:w="90" w:type="dxa"/>
              <w:right w:w="110" w:type="dxa"/>
            </w:tcMar>
            <w:vAlign w:val="center"/>
          </w:tcPr>
          <w:p w:rsidR="007508D1" w:rsidRDefault="00000000">
            <w:pPr>
              <w:spacing w:after="0" w:line="259" w:lineRule="auto"/>
            </w:pPr>
            <w:r>
              <w:rPr>
                <w:sz w:val="16"/>
              </w:rPr>
              <w:t>Create and brand the TTA tenant; configure departments, teams, roles, approval chain, expense policy, leave settings, shifts and appraisal cycle.</w:t>
            </w:r>
          </w:p>
        </w:tc>
        <w:tc>
          <w:tcPr>
            <w:tcW w:w="2592" w:type="dxa"/>
            <w:tcBorders>
              <w:top w:val="single" w:sz="5" w:space="0" w:color="D9E2E6"/>
              <w:left w:val="single" w:sz="5" w:space="0" w:color="D9E2E6"/>
              <w:bottom w:val="single" w:sz="5" w:space="0" w:color="D9E2E6"/>
              <w:right w:val="single" w:sz="5" w:space="0" w:color="D9E2E6"/>
            </w:tcBorders>
            <w:shd w:val="clear" w:color="auto" w:fill="FFFFFF"/>
            <w:tcMar>
              <w:top w:w="90" w:type="dxa"/>
              <w:left w:w="110" w:type="dxa"/>
              <w:bottom w:w="90" w:type="dxa"/>
              <w:right w:w="110" w:type="dxa"/>
            </w:tcMar>
            <w:vAlign w:val="center"/>
          </w:tcPr>
          <w:p w:rsidR="007508D1" w:rsidRDefault="00000000">
            <w:pPr>
              <w:spacing w:after="0" w:line="259" w:lineRule="auto"/>
            </w:pPr>
            <w:r>
              <w:rPr>
                <w:sz w:val="16"/>
              </w:rPr>
              <w:t>Configuration walkthrough accepted by HR, Finance and Operations owners.</w:t>
            </w:r>
          </w:p>
        </w:tc>
      </w:tr>
      <w:tr w:rsidR="007508D1">
        <w:trPr>
          <w:cantSplit/>
          <w:jc w:val="center"/>
        </w:trPr>
        <w:tc>
          <w:tcPr>
            <w:tcW w:w="1656" w:type="dxa"/>
            <w:tcBorders>
              <w:top w:val="single" w:sz="5" w:space="0" w:color="D9E2E6"/>
              <w:left w:val="single" w:sz="5" w:space="0" w:color="D9E2E6"/>
              <w:bottom w:val="single" w:sz="5" w:space="0" w:color="D9E2E6"/>
              <w:right w:val="single" w:sz="5" w:space="0" w:color="D9E2E6"/>
            </w:tcBorders>
            <w:shd w:val="clear" w:color="auto" w:fill="F2F6F7"/>
            <w:tcMar>
              <w:top w:w="90" w:type="dxa"/>
              <w:left w:w="110" w:type="dxa"/>
              <w:bottom w:w="90" w:type="dxa"/>
              <w:right w:w="110" w:type="dxa"/>
            </w:tcMar>
            <w:vAlign w:val="center"/>
          </w:tcPr>
          <w:p w:rsidR="007508D1" w:rsidRDefault="00000000">
            <w:pPr>
              <w:spacing w:after="0" w:line="259" w:lineRule="auto"/>
            </w:pPr>
            <w:r>
              <w:rPr>
                <w:b/>
                <w:sz w:val="16"/>
              </w:rPr>
              <w:t>3. Prepare data &amp; controls</w:t>
            </w:r>
          </w:p>
        </w:tc>
        <w:tc>
          <w:tcPr>
            <w:tcW w:w="5184" w:type="dxa"/>
            <w:tcBorders>
              <w:top w:val="single" w:sz="5" w:space="0" w:color="D9E2E6"/>
              <w:left w:val="single" w:sz="5" w:space="0" w:color="D9E2E6"/>
              <w:bottom w:val="single" w:sz="5" w:space="0" w:color="D9E2E6"/>
              <w:right w:val="single" w:sz="5" w:space="0" w:color="D9E2E6"/>
            </w:tcBorders>
            <w:shd w:val="clear" w:color="auto" w:fill="F2F6F7"/>
            <w:tcMar>
              <w:top w:w="90" w:type="dxa"/>
              <w:left w:w="110" w:type="dxa"/>
              <w:bottom w:w="90" w:type="dxa"/>
              <w:right w:w="110" w:type="dxa"/>
            </w:tcMar>
            <w:vAlign w:val="center"/>
          </w:tcPr>
          <w:p w:rsidR="007508D1" w:rsidRDefault="00000000">
            <w:pPr>
              <w:spacing w:after="0" w:line="259" w:lineRule="auto"/>
            </w:pPr>
            <w:r>
              <w:t>Agree CSV templates and field mapping; import approved company data; reconcile records and validate access boundaries, notifications, audit events, receipts and recovery procedures.</w:t>
            </w:r>
          </w:p>
        </w:tc>
        <w:tc>
          <w:tcPr>
            <w:tcW w:w="2592" w:type="dxa"/>
            <w:tcBorders>
              <w:top w:val="single" w:sz="5" w:space="0" w:color="D9E2E6"/>
              <w:left w:val="single" w:sz="5" w:space="0" w:color="D9E2E6"/>
              <w:bottom w:val="single" w:sz="5" w:space="0" w:color="D9E2E6"/>
              <w:right w:val="single" w:sz="5" w:space="0" w:color="D9E2E6"/>
            </w:tcBorders>
            <w:shd w:val="clear" w:color="auto" w:fill="F2F6F7"/>
            <w:tcMar>
              <w:top w:w="90" w:type="dxa"/>
              <w:left w:w="110" w:type="dxa"/>
              <w:bottom w:w="90" w:type="dxa"/>
              <w:right w:w="110" w:type="dxa"/>
            </w:tcMar>
            <w:vAlign w:val="center"/>
          </w:tcPr>
          <w:p w:rsidR="007508D1" w:rsidRDefault="00000000">
            <w:pPr>
              <w:spacing w:after="0" w:line="259" w:lineRule="auto"/>
            </w:pPr>
            <w:r>
              <w:t>Reconciled company data, tested permissions and documented backup/restore approach.</w:t>
            </w:r>
          </w:p>
        </w:tc>
      </w:tr>
      <w:tr w:rsidR="007508D1">
        <w:trPr>
          <w:cantSplit/>
          <w:jc w:val="center"/>
        </w:trPr>
        <w:tc>
          <w:tcPr>
            <w:tcW w:w="1656" w:type="dxa"/>
            <w:tcBorders>
              <w:top w:val="single" w:sz="5" w:space="0" w:color="D9E2E6"/>
              <w:left w:val="single" w:sz="5" w:space="0" w:color="D9E2E6"/>
              <w:bottom w:val="single" w:sz="5" w:space="0" w:color="D9E2E6"/>
              <w:right w:val="single" w:sz="5" w:space="0" w:color="D9E2E6"/>
            </w:tcBorders>
            <w:shd w:val="clear" w:color="auto" w:fill="FFFFFF"/>
            <w:tcMar>
              <w:top w:w="90" w:type="dxa"/>
              <w:left w:w="110" w:type="dxa"/>
              <w:bottom w:w="90" w:type="dxa"/>
              <w:right w:w="110" w:type="dxa"/>
            </w:tcMar>
            <w:vAlign w:val="center"/>
          </w:tcPr>
          <w:p w:rsidR="007508D1" w:rsidRDefault="00000000">
            <w:pPr>
              <w:spacing w:after="0" w:line="259" w:lineRule="auto"/>
            </w:pPr>
            <w:r>
              <w:rPr>
                <w:b/>
                <w:sz w:val="16"/>
              </w:rPr>
              <w:t>4. UAT &amp; enablement</w:t>
            </w:r>
          </w:p>
        </w:tc>
        <w:tc>
          <w:tcPr>
            <w:tcW w:w="5184" w:type="dxa"/>
            <w:tcBorders>
              <w:top w:val="single" w:sz="5" w:space="0" w:color="D9E2E6"/>
              <w:left w:val="single" w:sz="5" w:space="0" w:color="D9E2E6"/>
              <w:bottom w:val="single" w:sz="5" w:space="0" w:color="D9E2E6"/>
              <w:right w:val="single" w:sz="5" w:space="0" w:color="D9E2E6"/>
            </w:tcBorders>
            <w:shd w:val="clear" w:color="auto" w:fill="FFFFFF"/>
            <w:tcMar>
              <w:top w:w="90" w:type="dxa"/>
              <w:left w:w="110" w:type="dxa"/>
              <w:bottom w:w="90" w:type="dxa"/>
              <w:right w:w="110" w:type="dxa"/>
            </w:tcMar>
            <w:vAlign w:val="center"/>
          </w:tcPr>
          <w:p w:rsidR="007508D1" w:rsidRDefault="00000000">
            <w:pPr>
              <w:spacing w:after="0" w:line="259" w:lineRule="auto"/>
            </w:pPr>
            <w:r>
              <w:t>Run companywide user acceptance scenarios; train administrators, approvers, managers and employees; test exceptions and resolve launch-critical issues.</w:t>
            </w:r>
          </w:p>
        </w:tc>
        <w:tc>
          <w:tcPr>
            <w:tcW w:w="2592" w:type="dxa"/>
            <w:tcBorders>
              <w:top w:val="single" w:sz="5" w:space="0" w:color="D9E2E6"/>
              <w:left w:val="single" w:sz="5" w:space="0" w:color="D9E2E6"/>
              <w:bottom w:val="single" w:sz="5" w:space="0" w:color="D9E2E6"/>
              <w:right w:val="single" w:sz="5" w:space="0" w:color="D9E2E6"/>
            </w:tcBorders>
            <w:shd w:val="clear" w:color="auto" w:fill="FFFFFF"/>
            <w:tcMar>
              <w:top w:w="90" w:type="dxa"/>
              <w:left w:w="110" w:type="dxa"/>
              <w:bottom w:w="90" w:type="dxa"/>
              <w:right w:w="110" w:type="dxa"/>
            </w:tcMar>
            <w:vAlign w:val="center"/>
          </w:tcPr>
          <w:p w:rsidR="007508D1" w:rsidRDefault="00000000">
            <w:pPr>
              <w:spacing w:after="0" w:line="259" w:lineRule="auto"/>
            </w:pPr>
            <w:r>
              <w:t>Business owners approve the companywide go-live checklist and accept or resolve open risks.</w:t>
            </w:r>
          </w:p>
        </w:tc>
      </w:tr>
      <w:tr w:rsidR="007508D1">
        <w:trPr>
          <w:cantSplit/>
          <w:jc w:val="center"/>
        </w:trPr>
        <w:tc>
          <w:tcPr>
            <w:tcW w:w="1656" w:type="dxa"/>
            <w:tcBorders>
              <w:top w:val="single" w:sz="5" w:space="0" w:color="D9E2E6"/>
              <w:left w:val="single" w:sz="5" w:space="0" w:color="D9E2E6"/>
              <w:bottom w:val="single" w:sz="5" w:space="0" w:color="D9E2E6"/>
              <w:right w:val="single" w:sz="5" w:space="0" w:color="D9E2E6"/>
            </w:tcBorders>
            <w:shd w:val="clear" w:color="auto" w:fill="F2F6F7"/>
            <w:tcMar>
              <w:top w:w="90" w:type="dxa"/>
              <w:left w:w="110" w:type="dxa"/>
              <w:bottom w:w="90" w:type="dxa"/>
              <w:right w:w="110" w:type="dxa"/>
            </w:tcMar>
            <w:vAlign w:val="center"/>
          </w:tcPr>
          <w:p w:rsidR="007508D1" w:rsidRDefault="00000000">
            <w:pPr>
              <w:spacing w:after="0" w:line="259" w:lineRule="auto"/>
            </w:pPr>
            <w:r>
              <w:rPr>
                <w:b/>
                <w:sz w:val="16"/>
              </w:rPr>
              <w:t>5. Go-live &amp; stabilize</w:t>
            </w:r>
          </w:p>
        </w:tc>
        <w:tc>
          <w:tcPr>
            <w:tcW w:w="5184" w:type="dxa"/>
            <w:tcBorders>
              <w:top w:val="single" w:sz="5" w:space="0" w:color="D9E2E6"/>
              <w:left w:val="single" w:sz="5" w:space="0" w:color="D9E2E6"/>
              <w:bottom w:val="single" w:sz="5" w:space="0" w:color="D9E2E6"/>
              <w:right w:val="single" w:sz="5" w:space="0" w:color="D9E2E6"/>
            </w:tcBorders>
            <w:shd w:val="clear" w:color="auto" w:fill="F2F6F7"/>
            <w:tcMar>
              <w:top w:w="90" w:type="dxa"/>
              <w:left w:w="110" w:type="dxa"/>
              <w:bottom w:w="90" w:type="dxa"/>
              <w:right w:w="110" w:type="dxa"/>
            </w:tcMar>
            <w:vAlign w:val="center"/>
          </w:tcPr>
          <w:p w:rsidR="007508D1" w:rsidRDefault="00000000">
            <w:pPr>
              <w:spacing w:after="0" w:line="259" w:lineRule="auto"/>
            </w:pPr>
            <w:r>
              <w:t>Launch for all approved users, monitor adoption and support early questions, then review companywide measures and operational issues.</w:t>
            </w:r>
          </w:p>
        </w:tc>
        <w:tc>
          <w:tcPr>
            <w:tcW w:w="2592" w:type="dxa"/>
            <w:tcBorders>
              <w:top w:val="single" w:sz="5" w:space="0" w:color="D9E2E6"/>
              <w:left w:val="single" w:sz="5" w:space="0" w:color="D9E2E6"/>
              <w:bottom w:val="single" w:sz="5" w:space="0" w:color="D9E2E6"/>
              <w:right w:val="single" w:sz="5" w:space="0" w:color="D9E2E6"/>
            </w:tcBorders>
            <w:shd w:val="clear" w:color="auto" w:fill="F2F6F7"/>
            <w:tcMar>
              <w:top w:w="90" w:type="dxa"/>
              <w:left w:w="110" w:type="dxa"/>
              <w:bottom w:w="90" w:type="dxa"/>
              <w:right w:w="110" w:type="dxa"/>
            </w:tcMar>
            <w:vAlign w:val="center"/>
          </w:tcPr>
          <w:p w:rsidR="007508D1" w:rsidRDefault="00000000">
            <w:pPr>
              <w:spacing w:after="0" w:line="259" w:lineRule="auto"/>
            </w:pPr>
            <w:r>
              <w:t>Hypercare review and transition to ongoing service and support.</w:t>
            </w:r>
          </w:p>
        </w:tc>
      </w:tr>
    </w:tbl>
    <w:p w:rsidR="007508D1" w:rsidRDefault="007508D1">
      <w:pPr>
        <w:spacing w:after="20"/>
      </w:pPr>
    </w:p>
    <w:p w:rsidR="007508D1" w:rsidRDefault="00000000">
      <w:pPr>
        <w:pStyle w:val="Heading2"/>
      </w:pPr>
      <w:r>
        <w:t>Organization-wide user groups</w:t>
      </w:r>
    </w:p>
    <w:p w:rsidR="007508D1" w:rsidRDefault="00000000">
      <w:r>
        <w:t>The proposed scope is a full-company deployment across all approved departments and employee groups, with rollout sequencing coordinated around operational readiness. TTA should nominate an executive sponsor, HR owner, finance approver, operations lead, department champions and technical/data contact.</w:t>
      </w:r>
    </w:p>
    <w:p w:rsidR="007508D1" w:rsidRDefault="00000000">
      <w:pPr>
        <w:pStyle w:val="Heading2"/>
      </w:pPr>
      <w:r>
        <w:t>Measures of success</w:t>
      </w:r>
    </w:p>
    <w:p w:rsidR="007508D1" w:rsidRDefault="00000000">
      <w:r>
        <w:t>We recommend establishing companywide baselines during discovery and reviewing these measures after go-live. Targets should be agreed with TTA; no savings or productivity percentage is guaranteed in advance.</w:t>
      </w:r>
    </w:p>
    <w:p w:rsidR="007508D1" w:rsidRDefault="00000000">
      <w:pPr>
        <w:pStyle w:val="ListBullet"/>
        <w:spacing w:after="60"/>
        <w:ind w:left="389" w:hanging="216"/>
      </w:pPr>
      <w:r>
        <w:t>Percentage of active employees with complete, HR-verified profiles and appropriate access.</w:t>
      </w:r>
    </w:p>
    <w:p w:rsidR="007508D1" w:rsidRDefault="00000000">
      <w:pPr>
        <w:pStyle w:val="ListBullet"/>
        <w:spacing w:after="60"/>
        <w:ind w:left="389" w:hanging="216"/>
      </w:pPr>
      <w:r>
        <w:t>Time from request submission to decision, split by request type and approval stage.</w:t>
      </w:r>
    </w:p>
    <w:p w:rsidR="007508D1" w:rsidRDefault="00000000">
      <w:pPr>
        <w:pStyle w:val="ListBullet"/>
        <w:spacing w:after="60"/>
        <w:ind w:left="389" w:hanging="216"/>
      </w:pPr>
      <w:r>
        <w:t>Expense claims submitted with required receipts and claims returned for incomplete evidence.</w:t>
      </w:r>
    </w:p>
    <w:p w:rsidR="007508D1" w:rsidRDefault="00000000">
      <w:pPr>
        <w:pStyle w:val="ListBullet"/>
        <w:spacing w:after="60"/>
        <w:ind w:left="389" w:hanging="216"/>
      </w:pPr>
      <w:r>
        <w:t>Leave and attendance records submitted and reviewed within TTA’s agreed service window.</w:t>
      </w:r>
    </w:p>
    <w:p w:rsidR="007508D1" w:rsidRDefault="00000000">
      <w:pPr>
        <w:pStyle w:val="ListBullet"/>
        <w:spacing w:after="60"/>
        <w:ind w:left="389" w:hanging="216"/>
      </w:pPr>
      <w:r>
        <w:t>Payroll records and payslips reviewed and acknowledged, with no unapproved transfer implication.</w:t>
      </w:r>
    </w:p>
    <w:p w:rsidR="007508D1" w:rsidRDefault="00000000">
      <w:pPr>
        <w:pStyle w:val="ListBullet"/>
        <w:spacing w:after="60"/>
        <w:ind w:left="389" w:hanging="216"/>
      </w:pPr>
      <w:r>
        <w:t>Task ownership and overdue work visibility across participating departments.</w:t>
      </w:r>
    </w:p>
    <w:p w:rsidR="007508D1" w:rsidRDefault="00000000">
      <w:pPr>
        <w:pStyle w:val="ListBullet"/>
        <w:spacing w:after="60"/>
        <w:ind w:left="389" w:hanging="216"/>
      </w:pPr>
      <w:r>
        <w:t>User adoption, support questions, and audit completeness for key approvals.</w:t>
      </w:r>
    </w:p>
    <w:p w:rsidR="007508D1" w:rsidRDefault="00000000">
      <w:pPr>
        <w:pStyle w:val="Heading1"/>
      </w:pPr>
      <w:r>
        <w:lastRenderedPageBreak/>
        <w:t>Commercial approach</w:t>
      </w:r>
    </w:p>
    <w:p w:rsidR="007508D1" w:rsidRDefault="00000000">
      <w:r>
        <w:t>Subscription and implementation fees will be quoted after confirming the companywide active-user count, selected modules, data migration effort, support expectations, and any integrations or bespoke changes. Zyntris subscriptions are activated manually through the Business Development Manager; there is no in-app paid-plan checkout. The commercial schedule will distinguish recurring subscription, onboarding/configuration, optional integration work, support and applicable taxes.</w:t>
      </w:r>
    </w:p>
    <w:p w:rsidR="007508D1" w:rsidRDefault="00000000">
      <w:r>
        <w:t>The formal order form or service agreement should also document payment terms, data-processing responsibilities, support/service levels, renewal and cancellation provisions, and the agreed production start date.</w:t>
      </w:r>
    </w:p>
    <w:p w:rsidR="007508D1" w:rsidRDefault="00000000">
      <w:pPr>
        <w:pStyle w:val="Heading1"/>
      </w:pPr>
      <w:r>
        <w:t>Recommended next steps</w:t>
      </w:r>
    </w:p>
    <w:p w:rsidR="007508D1" w:rsidRDefault="00000000">
      <w:pPr>
        <w:pStyle w:val="ListNumber"/>
        <w:spacing w:after="80"/>
      </w:pPr>
      <w:r>
        <w:t>Schedule a 60-minute discovery session with Transport Tech Africa’s executive sponsor and HR, Finance, Operations and technical representatives.</w:t>
      </w:r>
    </w:p>
    <w:p w:rsidR="007508D1" w:rsidRDefault="00000000">
      <w:pPr>
        <w:pStyle w:val="ListNumber"/>
        <w:spacing w:after="80"/>
      </w:pPr>
      <w:r>
        <w:t>Confirm the companywide scope and rollout sequence across departments, including employee onboarding, leave, expense claims, financial approvals and the operational modules selected for launch.</w:t>
      </w:r>
    </w:p>
    <w:p w:rsidR="007508D1" w:rsidRDefault="00000000">
      <w:pPr>
        <w:pStyle w:val="ListNumber"/>
        <w:spacing w:after="80"/>
      </w:pPr>
      <w:r>
        <w:t>Confirm the approval policy: CEO as first approver for financial requests, named second approver when unavailable, and category-specific authority limits.</w:t>
      </w:r>
    </w:p>
    <w:p w:rsidR="007508D1" w:rsidRDefault="00000000">
      <w:pPr>
        <w:pStyle w:val="ListNumber"/>
        <w:spacing w:after="80"/>
      </w:pPr>
      <w:r>
        <w:t>Review data fields, migration sources, payroll policy ownership, retention, backup/restore requirements and any interfaces to current logistics or accounting systems.</w:t>
      </w:r>
    </w:p>
    <w:p w:rsidR="007508D1" w:rsidRDefault="00000000">
      <w:pPr>
        <w:pStyle w:val="ListNumber"/>
        <w:spacing w:after="80"/>
      </w:pPr>
      <w:r>
        <w:t>Agree the full-company implementation plan, success measures, commercial schedule and go-live readiness checklist; then configure the dedicated organization workspace for all approved users.</w:t>
      </w:r>
    </w:p>
    <w:p w:rsidR="007508D1" w:rsidRDefault="00000000">
      <w:pPr>
        <w:spacing w:before="120" w:after="160"/>
      </w:pPr>
      <w:r>
        <w:rPr>
          <w:b/>
          <w:color w:val="1D5360"/>
        </w:rPr>
        <w:t>Our recommendation</w:t>
      </w:r>
    </w:p>
    <w:p w:rsidR="007508D1" w:rsidRDefault="00000000">
      <w:pPr>
        <w:spacing w:after="160"/>
      </w:pPr>
      <w:r>
        <w:t>Proceed with a companywide deployment of Zyntris Operations to strengthen workforce administration and financial request control, while keeping shipment execution in Transport Tech Africa’s specialist transport systems. This positions Zyntris as the back-office operations platform supporting the logistics business, not as a transport-management product.</w:t>
      </w:r>
    </w:p>
    <w:p w:rsidR="007508D1" w:rsidRDefault="00000000">
      <w:pPr>
        <w:pStyle w:val="Heading1"/>
      </w:pPr>
      <w:r>
        <w:t>Sources &amp; proposal notes</w:t>
      </w:r>
    </w:p>
    <w:p w:rsidR="007508D1" w:rsidRDefault="00000000">
      <w:r>
        <w:t>Transport Tech Africa context is based on its public LinkedIn company profile and posts available on 9 October 2026. Public statements are treated as context, not as a substitute for a discovery conversation.[1] Zyntris capability and boundary statements reflect the current Zyntris Operations product scope as of the proposal date. All TTA-specific workflows, volumes, targets, dates, pricing and integrations remain subject to joint discovery.</w:t>
      </w:r>
    </w:p>
    <w:p w:rsidR="007508D1" w:rsidRDefault="00000000">
      <w:pPr>
        <w:spacing w:after="80"/>
        <w:ind w:left="259" w:hanging="259"/>
      </w:pPr>
      <w:r>
        <w:rPr>
          <w:color w:val="657786"/>
          <w:sz w:val="17"/>
        </w:rPr>
        <w:t xml:space="preserve">1. Transport Tech Africa, company profile and public updates. </w:t>
      </w:r>
      <w:hyperlink r:id="rId8">
        <w:r>
          <w:rPr>
            <w:color w:val="1D5360"/>
            <w:u w:val="single"/>
          </w:rPr>
          <w:t>https://ng.linkedin.com/company/transport-tech-africa</w:t>
        </w:r>
      </w:hyperlink>
      <w:r>
        <w:rPr>
          <w:color w:val="657786"/>
          <w:sz w:val="17"/>
        </w:rPr>
        <w:t xml:space="preserve"> — viewed 9 October 2026; company description, freight/logistics focus and public priorities referenced in this proposal.</w:t>
      </w:r>
    </w:p>
    <w:sectPr w:rsidR="007508D1" w:rsidSect="00034616">
      <w:headerReference w:type="default" r:id="rId9"/>
      <w:footerReference w:type="default" r:id="rId10"/>
      <w:pgSz w:w="12240" w:h="15840"/>
      <w:pgMar w:top="1037" w:right="1181" w:bottom="979" w:left="1181" w:header="461"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31149" w:rsidRDefault="00A31149">
      <w:pPr>
        <w:spacing w:after="0" w:line="240" w:lineRule="auto"/>
      </w:pPr>
      <w:r>
        <w:separator/>
      </w:r>
    </w:p>
  </w:endnote>
  <w:endnote w:type="continuationSeparator" w:id="0">
    <w:p w:rsidR="00A31149" w:rsidRDefault="00A311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508D1" w:rsidRDefault="00000000">
    <w:pPr>
      <w:pStyle w:val="Footer"/>
      <w:spacing w:before="40"/>
      <w:jc w:val="right"/>
    </w:pPr>
    <w:r>
      <w:rPr>
        <w:color w:val="657786"/>
        <w:sz w:val="15"/>
      </w:rPr>
      <w:t xml:space="preserve">CONFIDENTIAL PROPOSAL   •   9 OCTOBER 2026     |     </w:t>
    </w:r>
    <w:r>
      <w:fldChar w:fldCharType="begin"/>
    </w:r>
    <w:r>
      <w:instrText xml:space="preserve"> PAGE </w:instrText>
    </w:r>
    <w:r w:rsidR="007931F1">
      <w:fldChar w:fldCharType="separate"/>
    </w:r>
    <w:r w:rsidR="007931F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31149" w:rsidRDefault="00A31149">
      <w:pPr>
        <w:spacing w:after="0" w:line="240" w:lineRule="auto"/>
      </w:pPr>
      <w:r>
        <w:separator/>
      </w:r>
    </w:p>
  </w:footnote>
  <w:footnote w:type="continuationSeparator" w:id="0">
    <w:p w:rsidR="00A31149" w:rsidRDefault="00A311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508D1" w:rsidRDefault="00000000">
    <w:pPr>
      <w:pStyle w:val="Header"/>
      <w:pBdr>
        <w:bottom w:val="single" w:sz="8" w:space="1" w:color="D9AA4B"/>
      </w:pBdr>
      <w:spacing w:after="40"/>
    </w:pPr>
    <w:r>
      <w:rPr>
        <w:b/>
        <w:color w:val="1D5360"/>
        <w:sz w:val="16"/>
      </w:rPr>
      <w:t>ZYNTRIS  /  OPERATIONS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2111013">
    <w:abstractNumId w:val="8"/>
  </w:num>
  <w:num w:numId="2" w16cid:durableId="528835446">
    <w:abstractNumId w:val="6"/>
  </w:num>
  <w:num w:numId="3" w16cid:durableId="1974868193">
    <w:abstractNumId w:val="5"/>
  </w:num>
  <w:num w:numId="4" w16cid:durableId="1821773990">
    <w:abstractNumId w:val="4"/>
  </w:num>
  <w:num w:numId="5" w16cid:durableId="1460878960">
    <w:abstractNumId w:val="7"/>
  </w:num>
  <w:num w:numId="6" w16cid:durableId="1301762335">
    <w:abstractNumId w:val="3"/>
  </w:num>
  <w:num w:numId="7" w16cid:durableId="2001688034">
    <w:abstractNumId w:val="2"/>
  </w:num>
  <w:num w:numId="8" w16cid:durableId="1645692173">
    <w:abstractNumId w:val="1"/>
  </w:num>
  <w:num w:numId="9" w16cid:durableId="1035272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508D1"/>
    <w:rsid w:val="007931F1"/>
    <w:rsid w:val="00A3114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D736A1"/>
  <w14:defaultImageDpi w14:val="300"/>
  <w15:docId w15:val="{86B71B49-750C-6546-9612-79C6DA301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263746"/>
      <w:sz w:val="20"/>
    </w:rPr>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b/>
      <w:bCs/>
      <w:color w:val="143642"/>
      <w:sz w:val="36"/>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b/>
      <w:bCs/>
      <w:color w:val="1D5360"/>
      <w:sz w:val="24"/>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b/>
      <w:bCs/>
      <w:color w:val="14364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9"/>
    </w:rPr>
  </w:style>
  <w:style w:type="paragraph" w:styleId="ListBullet2">
    <w:name w:val="List Bullet 2"/>
    <w:basedOn w:val="Normal"/>
    <w:uiPriority w:val="99"/>
    <w:unhideWhenUsed/>
    <w:rsid w:val="00326F90"/>
    <w:pPr>
      <w:numPr>
        <w:numId w:val="2"/>
      </w:numPr>
      <w:contextualSpacing/>
    </w:pPr>
    <w:rPr>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ng.linkedin.com/company/transport-tech-afric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1884</Words>
  <Characters>10741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Zyntris Operations Business Proposal for Transport Tech Africa</dc:title>
  <dc:subject>Companywide implementation proposal for operations, HR and financial controls</dc:subject>
  <dc:creator>Zyntris</dc:creator>
  <cp:keywords>Transport Tech Africa, Zyntris Operations, HR, expenses, approvals, logistics</cp:keywords>
  <dc:description>Confidential discussion draft. Scope and commercial terms to be agreed.</dc:description>
  <cp:lastModifiedBy>Microsoft Office User</cp:lastModifiedBy>
  <cp:revision>2</cp:revision>
  <dcterms:created xsi:type="dcterms:W3CDTF">2026-10-09T19:18:00Z</dcterms:created>
  <dcterms:modified xsi:type="dcterms:W3CDTF">2026-10-09T19:18:00Z</dcterms:modified>
  <cp:category/>
</cp:coreProperties>
</file>