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00000"/>
          <w:sz w:val="32"/>
          <w:szCs w:val="32"/>
          <w:u w:val="single"/>
        </w:rPr>
        <w:t xml:space="preserve">OPERATING AGREEMENT</w:t>
      </w:r>
    </w:p>
    <w:p>
      <w:pPr>
        <w:spacing w:after="60" w:before="0"/>
        <w:jc w:val="center"/>
      </w:pPr>
      <w:r>
        <w:rPr>
          <w:rFonts w:ascii="Times New Roman" w:cs="Times New Roman" w:eastAsia="Times New Roman" w:hAnsi="Times New Roman"/>
          <w:color w:val="000000"/>
          <w:sz w:val="24"/>
          <w:szCs w:val="24"/>
        </w:rPr>
        <w:t xml:space="preserve">OF</w:t>
      </w:r>
    </w:p>
    <w:p>
      <w:pPr>
        <w:spacing w:after="60" w:before="0"/>
        <w:jc w:val="center"/>
      </w:pPr>
      <w:r>
        <w:rPr>
          <w:rFonts w:ascii="Times New Roman" w:cs="Times New Roman" w:eastAsia="Times New Roman" w:hAnsi="Times New Roman"/>
          <w:b/>
          <w:bCs/>
          <w:color w:val="000000"/>
          <w:sz w:val="28"/>
          <w:szCs w:val="28"/>
        </w:rPr>
        <w:t xml:space="preserve">VYLAPP LLC</w:t>
      </w:r>
    </w:p>
    <w:p>
      <w:pPr>
        <w:spacing w:after="200" w:before="0"/>
        <w:jc w:val="center"/>
      </w:pPr>
      <w:r>
        <w:rPr>
          <w:rFonts w:ascii="Times New Roman" w:cs="Times New Roman" w:eastAsia="Times New Roman" w:hAnsi="Times New Roman"/>
          <w:color w:val="000000"/>
          <w:sz w:val="20"/>
          <w:szCs w:val="20"/>
        </w:rPr>
        <w:t xml:space="preserve">A Limited Liability Company Organized Under the Laws of the State of Indiana</w:t>
      </w:r>
    </w:p>
    <w:p>
      <w:pPr>
        <w:spacing w:after="280" w:before="0"/>
        <w:jc w:val="center"/>
      </w:pPr>
      <w:r>
        <w:rPr>
          <w:rFonts w:ascii="Times New Roman" w:cs="Times New Roman" w:eastAsia="Times New Roman" w:hAnsi="Times New Roman"/>
          <w:color w:val="000000"/>
          <w:sz w:val="24"/>
          <w:szCs w:val="24"/>
        </w:rPr>
        <w:t xml:space="preserve">Effective Date: _______________________, 2025</w:t>
      </w:r>
    </w:p>
    <w:p>
      <w:pPr>
        <w:spacing w:after="140" w:before="0" w:line="276" w:lineRule="auto"/>
        <w:jc w:val="both"/>
      </w:pPr>
      <w:r>
        <w:rPr>
          <w:rFonts w:ascii="Times New Roman" w:cs="Times New Roman" w:eastAsia="Times New Roman" w:hAnsi="Times New Roman"/>
          <w:color w:val="000000"/>
          <w:sz w:val="24"/>
          <w:szCs w:val="24"/>
        </w:rPr>
        <w:t xml:space="preserve">This Operating Agreement ("Agreement") is entered into as of the date set forth above by and among the members listed on Exhibit A attached hereto (each a "Member" and collectively the "Members"), for the purpose of forming and operating Vylapp LLC (the "Company"), a limited liability company organized under the Indiana Business Flexibility Act (Indiana Code § 23-18 et seq.).</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I</w:t>
      </w:r>
      <w:r>
        <w:rPr>
          <w:rFonts w:ascii="Times New Roman" w:cs="Times New Roman" w:eastAsia="Times New Roman" w:hAnsi="Times New Roman"/>
          <w:b/>
          <w:bCs/>
          <w:color w:val="000000"/>
          <w:sz w:val="24"/>
          <w:szCs w:val="24"/>
        </w:rPr>
        <w:t xml:space="preserve">     FORMATION</w:t>
      </w:r>
    </w:p>
    <w:p>
      <w:pPr>
        <w:spacing w:after="80" w:before="160" w:line="276" w:lineRule="auto"/>
        <w:ind w:left="360"/>
      </w:pPr>
      <w:r>
        <w:rPr>
          <w:rFonts w:ascii="Times New Roman" w:cs="Times New Roman" w:eastAsia="Times New Roman" w:hAnsi="Times New Roman"/>
          <w:b/>
          <w:bCs/>
          <w:color w:val="000000"/>
          <w:sz w:val="24"/>
          <w:szCs w:val="24"/>
        </w:rPr>
        <w:t xml:space="preserve">Section 1.1  Name.</w:t>
      </w:r>
    </w:p>
    <w:p>
      <w:pPr>
        <w:spacing w:after="120" w:before="0" w:line="276" w:lineRule="auto"/>
        <w:ind w:left="360"/>
      </w:pPr>
      <w:r>
        <w:rPr>
          <w:rFonts w:ascii="Times New Roman" w:cs="Times New Roman" w:eastAsia="Times New Roman" w:hAnsi="Times New Roman"/>
          <w:color w:val="000000"/>
          <w:sz w:val="24"/>
          <w:szCs w:val="24"/>
        </w:rPr>
        <w:t xml:space="preserve">The name of the Company is Vylapp LLC. The Company may conduct business under the trade name "Vylapp" or such other names as the Members may unanimously approve.</w:t>
      </w:r>
    </w:p>
    <w:p>
      <w:pPr>
        <w:spacing w:after="80" w:before="160" w:line="276" w:lineRule="auto"/>
        <w:ind w:left="360"/>
      </w:pPr>
      <w:r>
        <w:rPr>
          <w:rFonts w:ascii="Times New Roman" w:cs="Times New Roman" w:eastAsia="Times New Roman" w:hAnsi="Times New Roman"/>
          <w:b/>
          <w:bCs/>
          <w:color w:val="000000"/>
          <w:sz w:val="24"/>
          <w:szCs w:val="24"/>
        </w:rPr>
        <w:t xml:space="preserve">Section 1.2  Principal Office.</w:t>
      </w:r>
    </w:p>
    <w:p>
      <w:pPr>
        <w:spacing w:after="120" w:before="0" w:line="276" w:lineRule="auto"/>
        <w:ind w:left="360"/>
      </w:pPr>
      <w:r>
        <w:rPr>
          <w:rFonts w:ascii="Times New Roman" w:cs="Times New Roman" w:eastAsia="Times New Roman" w:hAnsi="Times New Roman"/>
          <w:color w:val="000000"/>
          <w:sz w:val="24"/>
          <w:szCs w:val="24"/>
        </w:rPr>
        <w:t xml:space="preserve">The principal office of the Company is located at 1680 Foyt Dr, Apt D, Indianapolis, Indiana 46224. The Members may change the principal office by unanimous written consent.</w:t>
      </w:r>
    </w:p>
    <w:p>
      <w:pPr>
        <w:spacing w:after="80" w:before="160" w:line="276" w:lineRule="auto"/>
        <w:ind w:left="360"/>
      </w:pPr>
      <w:r>
        <w:rPr>
          <w:rFonts w:ascii="Times New Roman" w:cs="Times New Roman" w:eastAsia="Times New Roman" w:hAnsi="Times New Roman"/>
          <w:b/>
          <w:bCs/>
          <w:color w:val="000000"/>
          <w:sz w:val="24"/>
          <w:szCs w:val="24"/>
        </w:rPr>
        <w:t xml:space="preserve">Section 1.3  Registered Agent.</w:t>
      </w:r>
    </w:p>
    <w:p>
      <w:pPr>
        <w:spacing w:after="120" w:before="0" w:line="276" w:lineRule="auto"/>
        <w:ind w:left="360"/>
      </w:pPr>
      <w:r>
        <w:rPr>
          <w:rFonts w:ascii="Times New Roman" w:cs="Times New Roman" w:eastAsia="Times New Roman" w:hAnsi="Times New Roman"/>
          <w:color w:val="000000"/>
          <w:sz w:val="24"/>
          <w:szCs w:val="24"/>
        </w:rPr>
        <w:t xml:space="preserve">The registered agent of the Company is Temim Bashiru, located at 1680 Foyt Dr, Apt D, Indianapolis, Indiana 46224. The Company may change its registered agent in accordance with applicable Indiana law.</w:t>
      </w:r>
    </w:p>
    <w:p>
      <w:pPr>
        <w:spacing w:after="80" w:before="160" w:line="276" w:lineRule="auto"/>
        <w:ind w:left="360"/>
      </w:pPr>
      <w:r>
        <w:rPr>
          <w:rFonts w:ascii="Times New Roman" w:cs="Times New Roman" w:eastAsia="Times New Roman" w:hAnsi="Times New Roman"/>
          <w:b/>
          <w:bCs/>
          <w:color w:val="000000"/>
          <w:sz w:val="24"/>
          <w:szCs w:val="24"/>
        </w:rPr>
        <w:t xml:space="preserve">Section 1.4  Term.</w:t>
      </w:r>
    </w:p>
    <w:p>
      <w:pPr>
        <w:spacing w:after="120" w:before="0" w:line="276" w:lineRule="auto"/>
        <w:ind w:left="360"/>
      </w:pPr>
      <w:r>
        <w:rPr>
          <w:rFonts w:ascii="Times New Roman" w:cs="Times New Roman" w:eastAsia="Times New Roman" w:hAnsi="Times New Roman"/>
          <w:color w:val="000000"/>
          <w:sz w:val="24"/>
          <w:szCs w:val="24"/>
        </w:rPr>
        <w:t xml:space="preserve">The Company shall have a perpetual existence unless dissolved in accordance with the provisions of this Agreement or applicable Indiana law.</w:t>
      </w:r>
    </w:p>
    <w:p>
      <w:pPr>
        <w:spacing w:after="80" w:before="160" w:line="276" w:lineRule="auto"/>
        <w:ind w:left="360"/>
      </w:pPr>
      <w:r>
        <w:rPr>
          <w:rFonts w:ascii="Times New Roman" w:cs="Times New Roman" w:eastAsia="Times New Roman" w:hAnsi="Times New Roman"/>
          <w:b/>
          <w:bCs/>
          <w:color w:val="000000"/>
          <w:sz w:val="24"/>
          <w:szCs w:val="24"/>
        </w:rPr>
        <w:t xml:space="preserve">Section 1.5  Purpose.</w:t>
      </w:r>
    </w:p>
    <w:p>
      <w:pPr>
        <w:spacing w:after="120" w:before="0" w:line="276" w:lineRule="auto"/>
        <w:ind w:left="360"/>
      </w:pPr>
      <w:r>
        <w:rPr>
          <w:rFonts w:ascii="Times New Roman" w:cs="Times New Roman" w:eastAsia="Times New Roman" w:hAnsi="Times New Roman"/>
          <w:color w:val="000000"/>
          <w:sz w:val="24"/>
          <w:szCs w:val="24"/>
        </w:rPr>
        <w:t xml:space="preserve">The Company is organized to develop, operate, and monetize the Vylapp platform — a global social community and technology platform enabling users to vibe, learn, and connect — and to engage in any other lawful business activity as determined by the Members.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II</w:t>
      </w:r>
      <w:r>
        <w:rPr>
          <w:rFonts w:ascii="Times New Roman" w:cs="Times New Roman" w:eastAsia="Times New Roman" w:hAnsi="Times New Roman"/>
          <w:b/>
          <w:bCs/>
          <w:color w:val="000000"/>
          <w:sz w:val="24"/>
          <w:szCs w:val="24"/>
        </w:rPr>
        <w:t xml:space="preserve">     MEMBERS AND MEMBERSHIP INTERESTS</w:t>
      </w:r>
    </w:p>
    <w:p>
      <w:pPr>
        <w:spacing w:after="80" w:before="160" w:line="276" w:lineRule="auto"/>
        <w:ind w:left="360"/>
      </w:pPr>
      <w:r>
        <w:rPr>
          <w:rFonts w:ascii="Times New Roman" w:cs="Times New Roman" w:eastAsia="Times New Roman" w:hAnsi="Times New Roman"/>
          <w:b/>
          <w:bCs/>
          <w:color w:val="000000"/>
          <w:sz w:val="24"/>
          <w:szCs w:val="24"/>
        </w:rPr>
        <w:t xml:space="preserve">Section 2.1  Initial Members.</w:t>
      </w:r>
    </w:p>
    <w:p>
      <w:pPr>
        <w:spacing w:after="120" w:before="0" w:line="276" w:lineRule="auto"/>
        <w:ind w:left="360"/>
      </w:pPr>
      <w:r>
        <w:rPr>
          <w:rFonts w:ascii="Times New Roman" w:cs="Times New Roman" w:eastAsia="Times New Roman" w:hAnsi="Times New Roman"/>
          <w:color w:val="000000"/>
          <w:sz w:val="24"/>
          <w:szCs w:val="24"/>
        </w:rPr>
        <w:t xml:space="preserve">The initial Members of the Company and their respective Membership Interests are set forth in Exhibit A to this Agreement.</w:t>
      </w:r>
    </w:p>
    <w:p>
      <w:pPr>
        <w:spacing w:after="80" w:before="160" w:line="276" w:lineRule="auto"/>
        <w:ind w:left="360"/>
      </w:pPr>
      <w:r>
        <w:rPr>
          <w:rFonts w:ascii="Times New Roman" w:cs="Times New Roman" w:eastAsia="Times New Roman" w:hAnsi="Times New Roman"/>
          <w:b/>
          <w:bCs/>
          <w:color w:val="000000"/>
          <w:sz w:val="24"/>
          <w:szCs w:val="24"/>
        </w:rPr>
        <w:t xml:space="preserve">Section 2.2  Units of Membership Interest.</w:t>
      </w:r>
    </w:p>
    <w:p>
      <w:pPr>
        <w:spacing w:after="120" w:before="0" w:line="276" w:lineRule="auto"/>
        <w:ind w:left="360"/>
      </w:pPr>
      <w:r>
        <w:rPr>
          <w:rFonts w:ascii="Times New Roman" w:cs="Times New Roman" w:eastAsia="Times New Roman" w:hAnsi="Times New Roman"/>
          <w:color w:val="000000"/>
          <w:sz w:val="24"/>
          <w:szCs w:val="24"/>
        </w:rPr>
        <w:t xml:space="preserve">Membership Interests shall be expressed as a percentage of the total outstanding interests ("Units"). The total Membership Interests shall equal 100%. The Company may authorize additional classes of Units by unanimous written consent of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2.3  Additional Members.</w:t>
      </w:r>
    </w:p>
    <w:p>
      <w:pPr>
        <w:spacing w:after="120" w:before="0" w:line="276" w:lineRule="auto"/>
        <w:ind w:left="360"/>
      </w:pPr>
      <w:r>
        <w:rPr>
          <w:rFonts w:ascii="Times New Roman" w:cs="Times New Roman" w:eastAsia="Times New Roman" w:hAnsi="Times New Roman"/>
          <w:color w:val="000000"/>
          <w:sz w:val="24"/>
          <w:szCs w:val="24"/>
        </w:rPr>
        <w:t xml:space="preserve">New Members may be admitted to the Company only upon the unanimous written consent of all existing Members. Any new Member shall execute a counterpart signature page to this Agreement and shall be bound by all terms hereof.</w:t>
      </w:r>
    </w:p>
    <w:p>
      <w:pPr>
        <w:spacing w:after="80" w:before="160" w:line="276" w:lineRule="auto"/>
        <w:ind w:left="360"/>
      </w:pPr>
      <w:r>
        <w:rPr>
          <w:rFonts w:ascii="Times New Roman" w:cs="Times New Roman" w:eastAsia="Times New Roman" w:hAnsi="Times New Roman"/>
          <w:b/>
          <w:bCs/>
          <w:color w:val="000000"/>
          <w:sz w:val="24"/>
          <w:szCs w:val="24"/>
        </w:rPr>
        <w:t xml:space="preserve">Section 2.4  Transfer of Membership Interests.</w:t>
      </w:r>
    </w:p>
    <w:p>
      <w:pPr>
        <w:spacing w:after="120" w:before="0" w:line="276" w:lineRule="auto"/>
        <w:ind w:left="360"/>
      </w:pPr>
      <w:r>
        <w:rPr>
          <w:rFonts w:ascii="Times New Roman" w:cs="Times New Roman" w:eastAsia="Times New Roman" w:hAnsi="Times New Roman"/>
          <w:color w:val="000000"/>
          <w:sz w:val="24"/>
          <w:szCs w:val="24"/>
        </w:rPr>
        <w:t xml:space="preserve">No Member may sell, assign, transfer, pledge, encumber, or otherwise dispose of all or any portion of their Membership Interest without the prior written consent of Members holding a majority of the outstanding Membership Interests. Any unauthorized transfer shall be null and void. The Company shall have a right of first refusal on any proposed transfer at the same price and terms offered to any third party.</w:t>
      </w:r>
    </w:p>
    <w:p>
      <w:pPr>
        <w:spacing w:after="80" w:before="160" w:line="276" w:lineRule="auto"/>
        <w:ind w:left="360"/>
      </w:pPr>
      <w:r>
        <w:rPr>
          <w:rFonts w:ascii="Times New Roman" w:cs="Times New Roman" w:eastAsia="Times New Roman" w:hAnsi="Times New Roman"/>
          <w:b/>
          <w:bCs/>
          <w:color w:val="000000"/>
          <w:sz w:val="24"/>
          <w:szCs w:val="24"/>
        </w:rPr>
        <w:t xml:space="preserve">Section 2.5  Withdrawal.</w:t>
      </w:r>
    </w:p>
    <w:p>
      <w:pPr>
        <w:spacing w:after="120" w:before="0" w:line="276" w:lineRule="auto"/>
        <w:ind w:left="360"/>
      </w:pPr>
      <w:r>
        <w:rPr>
          <w:rFonts w:ascii="Times New Roman" w:cs="Times New Roman" w:eastAsia="Times New Roman" w:hAnsi="Times New Roman"/>
          <w:color w:val="000000"/>
          <w:sz w:val="24"/>
          <w:szCs w:val="24"/>
        </w:rPr>
        <w:t xml:space="preserve">No Member may withdraw from the Company without sixty (60) days prior written notice and the unanimous written consent of all other Members. A withdrawing Member shall not be entitled to receive the fair value of their interest except as expressly agreed in writing by all Members.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III</w:t>
      </w:r>
      <w:r>
        <w:rPr>
          <w:rFonts w:ascii="Times New Roman" w:cs="Times New Roman" w:eastAsia="Times New Roman" w:hAnsi="Times New Roman"/>
          <w:b/>
          <w:bCs/>
          <w:color w:val="000000"/>
          <w:sz w:val="24"/>
          <w:szCs w:val="24"/>
        </w:rPr>
        <w:t xml:space="preserve">     CAPITAL CONTRIBUTIONS AND ACCOUNTS</w:t>
      </w:r>
    </w:p>
    <w:p>
      <w:pPr>
        <w:spacing w:after="80" w:before="160" w:line="276" w:lineRule="auto"/>
        <w:ind w:left="360"/>
      </w:pPr>
      <w:r>
        <w:rPr>
          <w:rFonts w:ascii="Times New Roman" w:cs="Times New Roman" w:eastAsia="Times New Roman" w:hAnsi="Times New Roman"/>
          <w:b/>
          <w:bCs/>
          <w:color w:val="000000"/>
          <w:sz w:val="24"/>
          <w:szCs w:val="24"/>
        </w:rPr>
        <w:t xml:space="preserve">Section 3.1  Initial Contributions.</w:t>
      </w:r>
    </w:p>
    <w:p>
      <w:pPr>
        <w:spacing w:after="120" w:before="0" w:line="276" w:lineRule="auto"/>
        <w:ind w:left="360"/>
      </w:pPr>
      <w:r>
        <w:rPr>
          <w:rFonts w:ascii="Times New Roman" w:cs="Times New Roman" w:eastAsia="Times New Roman" w:hAnsi="Times New Roman"/>
          <w:color w:val="000000"/>
          <w:sz w:val="24"/>
          <w:szCs w:val="24"/>
        </w:rPr>
        <w:t xml:space="preserve">Each Member's initial capital contribution is set forth in Exhibit A. No Member shall be required to make any additional capital contributions without their written consent.</w:t>
      </w:r>
    </w:p>
    <w:p>
      <w:pPr>
        <w:spacing w:after="80" w:before="160" w:line="276" w:lineRule="auto"/>
        <w:ind w:left="360"/>
      </w:pPr>
      <w:r>
        <w:rPr>
          <w:rFonts w:ascii="Times New Roman" w:cs="Times New Roman" w:eastAsia="Times New Roman" w:hAnsi="Times New Roman"/>
          <w:b/>
          <w:bCs/>
          <w:color w:val="000000"/>
          <w:sz w:val="24"/>
          <w:szCs w:val="24"/>
        </w:rPr>
        <w:t xml:space="preserve">Section 3.2  Capital Accounts.</w:t>
      </w:r>
    </w:p>
    <w:p>
      <w:pPr>
        <w:spacing w:after="120" w:before="0" w:line="276" w:lineRule="auto"/>
        <w:ind w:left="360"/>
      </w:pPr>
      <w:r>
        <w:rPr>
          <w:rFonts w:ascii="Times New Roman" w:cs="Times New Roman" w:eastAsia="Times New Roman" w:hAnsi="Times New Roman"/>
          <w:color w:val="000000"/>
          <w:sz w:val="24"/>
          <w:szCs w:val="24"/>
        </w:rPr>
        <w:t xml:space="preserve">A separate Capital Account shall be maintained for each Member. Each Member's Capital Account shall be: (a) credited with their capital contributions and allocated share of net profits; and (b) debited with distributions and their allocated share of net losses.</w:t>
      </w:r>
    </w:p>
    <w:p>
      <w:pPr>
        <w:spacing w:after="80" w:before="160" w:line="276" w:lineRule="auto"/>
        <w:ind w:left="360"/>
      </w:pPr>
      <w:r>
        <w:rPr>
          <w:rFonts w:ascii="Times New Roman" w:cs="Times New Roman" w:eastAsia="Times New Roman" w:hAnsi="Times New Roman"/>
          <w:b/>
          <w:bCs/>
          <w:color w:val="000000"/>
          <w:sz w:val="24"/>
          <w:szCs w:val="24"/>
        </w:rPr>
        <w:t xml:space="preserve">Section 3.3  No Interest on Capital.</w:t>
      </w:r>
    </w:p>
    <w:p>
      <w:pPr>
        <w:spacing w:after="120" w:before="0" w:line="276" w:lineRule="auto"/>
        <w:ind w:left="360"/>
      </w:pPr>
      <w:r>
        <w:rPr>
          <w:rFonts w:ascii="Times New Roman" w:cs="Times New Roman" w:eastAsia="Times New Roman" w:hAnsi="Times New Roman"/>
          <w:color w:val="000000"/>
          <w:sz w:val="24"/>
          <w:szCs w:val="24"/>
        </w:rPr>
        <w:t xml:space="preserve">No Member shall be entitled to receive interest on any capital contribution unless unanimously agreed in writing by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3.4  Loans by Members.</w:t>
      </w:r>
    </w:p>
    <w:p>
      <w:pPr>
        <w:spacing w:after="120" w:before="0" w:line="276" w:lineRule="auto"/>
        <w:ind w:left="360"/>
      </w:pPr>
      <w:r>
        <w:rPr>
          <w:rFonts w:ascii="Times New Roman" w:cs="Times New Roman" w:eastAsia="Times New Roman" w:hAnsi="Times New Roman"/>
          <w:color w:val="000000"/>
          <w:sz w:val="24"/>
          <w:szCs w:val="24"/>
        </w:rPr>
        <w:t xml:space="preserve">Members may, but are not required to, make loans to the Company. Any such loans shall be evidenced by a written promissory note, shall bear commercially reasonable interest, and shall be repaid before any distributions are made to Members.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IV</w:t>
      </w:r>
      <w:r>
        <w:rPr>
          <w:rFonts w:ascii="Times New Roman" w:cs="Times New Roman" w:eastAsia="Times New Roman" w:hAnsi="Times New Roman"/>
          <w:b/>
          <w:bCs/>
          <w:color w:val="000000"/>
          <w:sz w:val="24"/>
          <w:szCs w:val="24"/>
        </w:rPr>
        <w:t xml:space="preserve">     ALLOCATIONS AND DISTRIBUTIONS</w:t>
      </w:r>
    </w:p>
    <w:p>
      <w:pPr>
        <w:spacing w:after="80" w:before="160" w:line="276" w:lineRule="auto"/>
        <w:ind w:left="360"/>
      </w:pPr>
      <w:r>
        <w:rPr>
          <w:rFonts w:ascii="Times New Roman" w:cs="Times New Roman" w:eastAsia="Times New Roman" w:hAnsi="Times New Roman"/>
          <w:b/>
          <w:bCs/>
          <w:color w:val="000000"/>
          <w:sz w:val="24"/>
          <w:szCs w:val="24"/>
        </w:rPr>
        <w:t xml:space="preserve">Section 4.1  Allocation of Profits and Losses.</w:t>
      </w:r>
    </w:p>
    <w:p>
      <w:pPr>
        <w:spacing w:after="120" w:before="0" w:line="276" w:lineRule="auto"/>
        <w:ind w:left="360"/>
      </w:pPr>
      <w:r>
        <w:rPr>
          <w:rFonts w:ascii="Times New Roman" w:cs="Times New Roman" w:eastAsia="Times New Roman" w:hAnsi="Times New Roman"/>
          <w:color w:val="000000"/>
          <w:sz w:val="24"/>
          <w:szCs w:val="24"/>
        </w:rPr>
        <w:t xml:space="preserve">The net profits and net losses of the Company for each fiscal year shall be allocated among the Members in proportion to their respective Membership Interests as set forth in Exhibit A, unless otherwise agreed in writing by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4.2  Distributions.</w:t>
      </w:r>
    </w:p>
    <w:p>
      <w:pPr>
        <w:spacing w:after="120" w:before="0" w:line="276" w:lineRule="auto"/>
        <w:ind w:left="360"/>
      </w:pPr>
      <w:r>
        <w:rPr>
          <w:rFonts w:ascii="Times New Roman" w:cs="Times New Roman" w:eastAsia="Times New Roman" w:hAnsi="Times New Roman"/>
          <w:color w:val="000000"/>
          <w:sz w:val="24"/>
          <w:szCs w:val="24"/>
        </w:rPr>
        <w:t xml:space="preserve">Distributions of Company cash or property shall be made to the Members in proportion to their respective Membership Interests at such times and in such amounts as the Members shall determine by majority vote. No distribution shall be made if it would render the Company unable to pay its debts as they become due in the ordinary course of business.</w:t>
      </w:r>
    </w:p>
    <w:p>
      <w:pPr>
        <w:spacing w:after="80" w:before="160" w:line="276" w:lineRule="auto"/>
        <w:ind w:left="360"/>
      </w:pPr>
      <w:r>
        <w:rPr>
          <w:rFonts w:ascii="Times New Roman" w:cs="Times New Roman" w:eastAsia="Times New Roman" w:hAnsi="Times New Roman"/>
          <w:b/>
          <w:bCs/>
          <w:color w:val="000000"/>
          <w:sz w:val="24"/>
          <w:szCs w:val="24"/>
        </w:rPr>
        <w:t xml:space="preserve">Section 4.3  Tax Distributions.</w:t>
      </w:r>
    </w:p>
    <w:p>
      <w:pPr>
        <w:spacing w:after="120" w:before="0" w:line="276" w:lineRule="auto"/>
        <w:ind w:left="360"/>
      </w:pPr>
      <w:r>
        <w:rPr>
          <w:rFonts w:ascii="Times New Roman" w:cs="Times New Roman" w:eastAsia="Times New Roman" w:hAnsi="Times New Roman"/>
          <w:color w:val="000000"/>
          <w:sz w:val="24"/>
          <w:szCs w:val="24"/>
        </w:rPr>
        <w:t xml:space="preserve">The Company shall use commercially reasonable efforts to distribute to each Member, no later than March 15 of each year, an amount sufficient to enable each Member to satisfy their estimated federal and state income tax obligations attributable to their share of Company income for the prior year, at the highest applicable marginal tax rate.</w:t>
      </w:r>
    </w:p>
    <w:p>
      <w:pPr>
        <w:spacing w:after="80" w:before="160" w:line="276" w:lineRule="auto"/>
        <w:ind w:left="360"/>
      </w:pPr>
      <w:r>
        <w:rPr>
          <w:rFonts w:ascii="Times New Roman" w:cs="Times New Roman" w:eastAsia="Times New Roman" w:hAnsi="Times New Roman"/>
          <w:b/>
          <w:bCs/>
          <w:color w:val="000000"/>
          <w:sz w:val="24"/>
          <w:szCs w:val="24"/>
        </w:rPr>
        <w:t xml:space="preserve">Section 4.4  Withholding.</w:t>
      </w:r>
    </w:p>
    <w:p>
      <w:pPr>
        <w:spacing w:after="120" w:before="0" w:line="276" w:lineRule="auto"/>
        <w:ind w:left="360"/>
      </w:pPr>
      <w:r>
        <w:rPr>
          <w:rFonts w:ascii="Times New Roman" w:cs="Times New Roman" w:eastAsia="Times New Roman" w:hAnsi="Times New Roman"/>
          <w:color w:val="000000"/>
          <w:sz w:val="24"/>
          <w:szCs w:val="24"/>
        </w:rPr>
        <w:t xml:space="preserve">The Company may withhold from distributions to any Member any amount required to be withheld by applicable law. Any amounts so withheld shall be treated as distributions to such Member.</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V</w:t>
      </w:r>
      <w:r>
        <w:rPr>
          <w:rFonts w:ascii="Times New Roman" w:cs="Times New Roman" w:eastAsia="Times New Roman" w:hAnsi="Times New Roman"/>
          <w:b/>
          <w:bCs/>
          <w:color w:val="000000"/>
          <w:sz w:val="24"/>
          <w:szCs w:val="24"/>
        </w:rPr>
        <w:t xml:space="preserve">     MANAGEMENT AND VOTING</w:t>
      </w:r>
    </w:p>
    <w:p>
      <w:pPr>
        <w:spacing w:after="80" w:before="160" w:line="276" w:lineRule="auto"/>
        <w:ind w:left="360"/>
      </w:pPr>
      <w:r>
        <w:rPr>
          <w:rFonts w:ascii="Times New Roman" w:cs="Times New Roman" w:eastAsia="Times New Roman" w:hAnsi="Times New Roman"/>
          <w:b/>
          <w:bCs/>
          <w:color w:val="000000"/>
          <w:sz w:val="24"/>
          <w:szCs w:val="24"/>
        </w:rPr>
        <w:t xml:space="preserve">Section 5.1  Member-Managed.</w:t>
      </w:r>
    </w:p>
    <w:p>
      <w:pPr>
        <w:spacing w:after="120" w:before="0" w:line="276" w:lineRule="auto"/>
        <w:ind w:left="360"/>
      </w:pPr>
      <w:r>
        <w:rPr>
          <w:rFonts w:ascii="Times New Roman" w:cs="Times New Roman" w:eastAsia="Times New Roman" w:hAnsi="Times New Roman"/>
          <w:color w:val="000000"/>
          <w:sz w:val="24"/>
          <w:szCs w:val="24"/>
        </w:rPr>
        <w:t xml:space="preserve">The Company shall be managed by its Members. Each Member shall have the right to act on behalf of the Company and to bind the Company in contracts and agreements in the ordinary course of business, subject to the limitations set forth herein.</w:t>
      </w:r>
    </w:p>
    <w:p>
      <w:pPr>
        <w:spacing w:after="80" w:before="160" w:line="276" w:lineRule="auto"/>
        <w:ind w:left="360"/>
      </w:pPr>
      <w:r>
        <w:rPr>
          <w:rFonts w:ascii="Times New Roman" w:cs="Times New Roman" w:eastAsia="Times New Roman" w:hAnsi="Times New Roman"/>
          <w:b/>
          <w:bCs/>
          <w:color w:val="000000"/>
          <w:sz w:val="24"/>
          <w:szCs w:val="24"/>
        </w:rPr>
        <w:t xml:space="preserve">Section 5.2  Voting Rights.</w:t>
      </w:r>
    </w:p>
    <w:p>
      <w:pPr>
        <w:spacing w:after="120" w:before="0" w:line="276" w:lineRule="auto"/>
        <w:ind w:left="360"/>
      </w:pPr>
      <w:r>
        <w:rPr>
          <w:rFonts w:ascii="Times New Roman" w:cs="Times New Roman" w:eastAsia="Times New Roman" w:hAnsi="Times New Roman"/>
          <w:color w:val="000000"/>
          <w:sz w:val="24"/>
          <w:szCs w:val="24"/>
        </w:rPr>
        <w:t xml:space="preserve">Except as otherwise provided herein, all decisions of the Members shall be made by the affirmative vote of Members holding a majority of the outstanding Membership Interests. Each Member shall have voting rights proportional to their Membership Interest.</w:t>
      </w:r>
    </w:p>
    <w:p>
      <w:pPr>
        <w:spacing w:after="80" w:before="160" w:line="276" w:lineRule="auto"/>
        <w:ind w:left="360"/>
      </w:pPr>
      <w:r>
        <w:rPr>
          <w:rFonts w:ascii="Times New Roman" w:cs="Times New Roman" w:eastAsia="Times New Roman" w:hAnsi="Times New Roman"/>
          <w:b/>
          <w:bCs/>
          <w:color w:val="000000"/>
          <w:sz w:val="24"/>
          <w:szCs w:val="24"/>
        </w:rPr>
        <w:t xml:space="preserve">Section 5.3  Supermajority Matters.</w:t>
      </w:r>
    </w:p>
    <w:p>
      <w:pPr>
        <w:spacing w:after="120" w:before="0" w:line="276" w:lineRule="auto"/>
        <w:ind w:left="360"/>
      </w:pPr>
      <w:r>
        <w:rPr>
          <w:rFonts w:ascii="Times New Roman" w:cs="Times New Roman" w:eastAsia="Times New Roman" w:hAnsi="Times New Roman"/>
          <w:color w:val="000000"/>
          <w:sz w:val="24"/>
          <w:szCs w:val="24"/>
        </w:rPr>
        <w:t xml:space="preserve">The following actions shall require the unanimous written consent of all Members:</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Amendment of this Agreement or the Articles of Organization;</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Admission of new Members;</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Sale, merger, or dissolution of the Company;</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Issuance of new Membership Interests or creation of new classes of interests;</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Any transaction between the Company and a Member or affiliate of a Member;</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Incurrence of debt exceeding $25,000 in a single transaction or series of related transactions;</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Capital expenditures exceeding $10,000 outside the approved annual budget;</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Entry into any joint venture, partnership, or strategic alliance; and</w:t>
      </w:r>
    </w:p>
    <w:p>
      <w:pPr>
        <w:pStyle w:val="ListParagraph"/>
        <w:numPr>
          <w:ilvl w:val="0"/>
          <w:numId w:val="2"/>
        </w:numPr>
        <w:spacing w:after="200" w:before="0"/>
      </w:pPr>
      <w:r>
        <w:rPr>
          <w:rFonts w:ascii="Times New Roman" w:cs="Times New Roman" w:eastAsia="Times New Roman" w:hAnsi="Times New Roman"/>
          <w:color w:val="000000"/>
          <w:sz w:val="24"/>
          <w:szCs w:val="24"/>
        </w:rPr>
        <w:t xml:space="preserve">Material change in the nature or scope of the Company's business.</w:t>
      </w:r>
    </w:p>
    <w:p>
      <w:pPr>
        <w:spacing w:after="80" w:before="160" w:line="276" w:lineRule="auto"/>
        <w:ind w:left="360"/>
      </w:pPr>
      <w:r>
        <w:rPr>
          <w:rFonts w:ascii="Times New Roman" w:cs="Times New Roman" w:eastAsia="Times New Roman" w:hAnsi="Times New Roman"/>
          <w:b/>
          <w:bCs/>
          <w:color w:val="000000"/>
          <w:sz w:val="24"/>
          <w:szCs w:val="24"/>
        </w:rPr>
        <w:t xml:space="preserve">Section 5.4  Officers.</w:t>
      </w:r>
    </w:p>
    <w:p>
      <w:pPr>
        <w:spacing w:after="120" w:before="0" w:line="276" w:lineRule="auto"/>
        <w:ind w:left="360"/>
      </w:pPr>
      <w:r>
        <w:rPr>
          <w:rFonts w:ascii="Times New Roman" w:cs="Times New Roman" w:eastAsia="Times New Roman" w:hAnsi="Times New Roman"/>
          <w:color w:val="000000"/>
          <w:sz w:val="24"/>
          <w:szCs w:val="24"/>
        </w:rPr>
        <w:t xml:space="preserve">The Members may appoint officers of the Company, including a Chief Executive Officer, Chief Technology Officer, and such other officers as the Members deem appropriate. Officers shall serve at the pleasure of the Members and shall have such authority and responsibilities as are delegated to them by the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5.5  Meetings.</w:t>
      </w:r>
    </w:p>
    <w:p>
      <w:pPr>
        <w:spacing w:after="120" w:before="0" w:line="276" w:lineRule="auto"/>
        <w:ind w:left="360"/>
      </w:pPr>
      <w:r>
        <w:rPr>
          <w:rFonts w:ascii="Times New Roman" w:cs="Times New Roman" w:eastAsia="Times New Roman" w:hAnsi="Times New Roman"/>
          <w:color w:val="000000"/>
          <w:sz w:val="24"/>
          <w:szCs w:val="24"/>
        </w:rPr>
        <w:t xml:space="preserve">Members shall hold regular meetings no less than quarterly. Special meetings may be called by any Member upon five (5) days written notice. Meetings may be held in person, by telephone, or by video conference. Actions may be taken without a meeting by unanimous written consent.</w:t>
      </w:r>
    </w:p>
    <w:p>
      <w:pPr>
        <w:spacing w:after="80" w:before="160" w:line="276" w:lineRule="auto"/>
        <w:ind w:left="360"/>
      </w:pPr>
      <w:r>
        <w:rPr>
          <w:rFonts w:ascii="Times New Roman" w:cs="Times New Roman" w:eastAsia="Times New Roman" w:hAnsi="Times New Roman"/>
          <w:b/>
          <w:bCs/>
          <w:color w:val="000000"/>
          <w:sz w:val="24"/>
          <w:szCs w:val="24"/>
        </w:rPr>
        <w:t xml:space="preserve">Section 5.6  Deadlock Resolution.</w:t>
      </w:r>
    </w:p>
    <w:p>
      <w:pPr>
        <w:spacing w:after="120" w:before="0" w:line="276" w:lineRule="auto"/>
        <w:ind w:left="360"/>
      </w:pPr>
      <w:r>
        <w:rPr>
          <w:rFonts w:ascii="Times New Roman" w:cs="Times New Roman" w:eastAsia="Times New Roman" w:hAnsi="Times New Roman"/>
          <w:color w:val="000000"/>
          <w:sz w:val="24"/>
          <w:szCs w:val="24"/>
        </w:rPr>
        <w:t xml:space="preserve">In the event of a deadlock among Members on any matter requiring unanimous approval that continues for thirty (30) days, the Members shall submit the matter to non-binding mediation with a mutually agreed mediator before pursuing any other remedies.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VI</w:t>
      </w:r>
      <w:r>
        <w:rPr>
          <w:rFonts w:ascii="Times New Roman" w:cs="Times New Roman" w:eastAsia="Times New Roman" w:hAnsi="Times New Roman"/>
          <w:b/>
          <w:bCs/>
          <w:color w:val="000000"/>
          <w:sz w:val="24"/>
          <w:szCs w:val="24"/>
        </w:rPr>
        <w:t xml:space="preserve">     BOOKS, RECORDS, AND TAX MATTERS</w:t>
      </w:r>
    </w:p>
    <w:p>
      <w:pPr>
        <w:spacing w:after="80" w:before="160" w:line="276" w:lineRule="auto"/>
        <w:ind w:left="360"/>
      </w:pPr>
      <w:r>
        <w:rPr>
          <w:rFonts w:ascii="Times New Roman" w:cs="Times New Roman" w:eastAsia="Times New Roman" w:hAnsi="Times New Roman"/>
          <w:b/>
          <w:bCs/>
          <w:color w:val="000000"/>
          <w:sz w:val="24"/>
          <w:szCs w:val="24"/>
        </w:rPr>
        <w:t xml:space="preserve">Section 6.1  Books and Records.</w:t>
      </w:r>
    </w:p>
    <w:p>
      <w:pPr>
        <w:spacing w:after="120" w:before="0" w:line="276" w:lineRule="auto"/>
        <w:ind w:left="360"/>
      </w:pPr>
      <w:r>
        <w:rPr>
          <w:rFonts w:ascii="Times New Roman" w:cs="Times New Roman" w:eastAsia="Times New Roman" w:hAnsi="Times New Roman"/>
          <w:color w:val="000000"/>
          <w:sz w:val="24"/>
          <w:szCs w:val="24"/>
        </w:rPr>
        <w:t xml:space="preserve">The Company shall maintain complete and accurate books of account, financial statements, bank records, and all other records required by Indiana law. Each Member shall have the right to inspect and copy such records upon reasonable written notice.</w:t>
      </w:r>
    </w:p>
    <w:p>
      <w:pPr>
        <w:spacing w:after="80" w:before="160" w:line="276" w:lineRule="auto"/>
        <w:ind w:left="360"/>
      </w:pPr>
      <w:r>
        <w:rPr>
          <w:rFonts w:ascii="Times New Roman" w:cs="Times New Roman" w:eastAsia="Times New Roman" w:hAnsi="Times New Roman"/>
          <w:b/>
          <w:bCs/>
          <w:color w:val="000000"/>
          <w:sz w:val="24"/>
          <w:szCs w:val="24"/>
        </w:rPr>
        <w:t xml:space="preserve">Section 6.2  Fiscal Year.</w:t>
      </w:r>
    </w:p>
    <w:p>
      <w:pPr>
        <w:spacing w:after="120" w:before="0" w:line="276" w:lineRule="auto"/>
        <w:ind w:left="360"/>
      </w:pPr>
      <w:r>
        <w:rPr>
          <w:rFonts w:ascii="Times New Roman" w:cs="Times New Roman" w:eastAsia="Times New Roman" w:hAnsi="Times New Roman"/>
          <w:color w:val="000000"/>
          <w:sz w:val="24"/>
          <w:szCs w:val="24"/>
        </w:rPr>
        <w:t xml:space="preserve">The Company's fiscal year shall end on December 31 of each year, unless changed by unanimous written consent of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6.3  Tax Classification.</w:t>
      </w:r>
    </w:p>
    <w:p>
      <w:pPr>
        <w:spacing w:after="120" w:before="0" w:line="276" w:lineRule="auto"/>
        <w:ind w:left="360"/>
      </w:pPr>
      <w:r>
        <w:rPr>
          <w:rFonts w:ascii="Times New Roman" w:cs="Times New Roman" w:eastAsia="Times New Roman" w:hAnsi="Times New Roman"/>
          <w:color w:val="000000"/>
          <w:sz w:val="24"/>
          <w:szCs w:val="24"/>
        </w:rPr>
        <w:t xml:space="preserve">It is the Members' intent that the Company be treated as a partnership for U.S. federal and state income tax purposes (or, if there is a single Member, as a disregarded entity). The Company shall not make any election to be treated as a corporation without the unanimous written consent of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6.4  Tax Matters Representative.</w:t>
      </w:r>
    </w:p>
    <w:p>
      <w:pPr>
        <w:spacing w:after="120" w:before="0" w:line="276" w:lineRule="auto"/>
        <w:ind w:left="360"/>
      </w:pPr>
      <w:r>
        <w:rPr>
          <w:rFonts w:ascii="Times New Roman" w:cs="Times New Roman" w:eastAsia="Times New Roman" w:hAnsi="Times New Roman"/>
          <w:color w:val="000000"/>
          <w:sz w:val="24"/>
          <w:szCs w:val="24"/>
        </w:rPr>
        <w:t xml:space="preserve">Temim Bashiru shall serve as the Company's Tax Matters Representative and shall have authority to make tax elections, receive notices, and act on behalf of the Company in tax proceedings. The Tax Matters Representative shall promptly notify all Members of any tax audit or proceeding.</w:t>
      </w:r>
    </w:p>
    <w:p>
      <w:pPr>
        <w:spacing w:after="80" w:before="160" w:line="276" w:lineRule="auto"/>
        <w:ind w:left="360"/>
      </w:pPr>
      <w:r>
        <w:rPr>
          <w:rFonts w:ascii="Times New Roman" w:cs="Times New Roman" w:eastAsia="Times New Roman" w:hAnsi="Times New Roman"/>
          <w:b/>
          <w:bCs/>
          <w:color w:val="000000"/>
          <w:sz w:val="24"/>
          <w:szCs w:val="24"/>
        </w:rPr>
        <w:t xml:space="preserve">Section 6.5  Banking.</w:t>
      </w:r>
    </w:p>
    <w:p>
      <w:pPr>
        <w:spacing w:after="120" w:before="0" w:line="276" w:lineRule="auto"/>
        <w:ind w:left="360"/>
      </w:pPr>
      <w:r>
        <w:rPr>
          <w:rFonts w:ascii="Times New Roman" w:cs="Times New Roman" w:eastAsia="Times New Roman" w:hAnsi="Times New Roman"/>
          <w:color w:val="000000"/>
          <w:sz w:val="24"/>
          <w:szCs w:val="24"/>
        </w:rPr>
        <w:t xml:space="preserve">The Company shall maintain one or more bank accounts in its name. Withdrawals and disbursements shall require the signature of any Member or such authorized officer as the Members may designate.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VII</w:t>
      </w:r>
      <w:r>
        <w:rPr>
          <w:rFonts w:ascii="Times New Roman" w:cs="Times New Roman" w:eastAsia="Times New Roman" w:hAnsi="Times New Roman"/>
          <w:b/>
          <w:bCs/>
          <w:color w:val="000000"/>
          <w:sz w:val="24"/>
          <w:szCs w:val="24"/>
        </w:rPr>
        <w:t xml:space="preserve">     INDEMNIFICATION AND LIABILITY</w:t>
      </w:r>
    </w:p>
    <w:p>
      <w:pPr>
        <w:spacing w:after="80" w:before="160" w:line="276" w:lineRule="auto"/>
        <w:ind w:left="360"/>
      </w:pPr>
      <w:r>
        <w:rPr>
          <w:rFonts w:ascii="Times New Roman" w:cs="Times New Roman" w:eastAsia="Times New Roman" w:hAnsi="Times New Roman"/>
          <w:b/>
          <w:bCs/>
          <w:color w:val="000000"/>
          <w:sz w:val="24"/>
          <w:szCs w:val="24"/>
        </w:rPr>
        <w:t xml:space="preserve">Section 7.1  Indemnification.</w:t>
      </w:r>
    </w:p>
    <w:p>
      <w:pPr>
        <w:spacing w:after="120" w:before="0" w:line="276" w:lineRule="auto"/>
        <w:ind w:left="360"/>
      </w:pPr>
      <w:r>
        <w:rPr>
          <w:rFonts w:ascii="Times New Roman" w:cs="Times New Roman" w:eastAsia="Times New Roman" w:hAnsi="Times New Roman"/>
          <w:color w:val="000000"/>
          <w:sz w:val="24"/>
          <w:szCs w:val="24"/>
        </w:rPr>
        <w:t xml:space="preserve">The Company shall indemnify and hold harmless each Member, officer, and authorized agent (each an "Indemnitee") from and against any and all claims, liabilities, damages, costs, and expenses (including reasonable attorneys' fees) arising from their acts or omissions on behalf of the Company, provided such person acted in good faith and in a manner reasonably believed to be in the best interests of the Company and did not engage in fraud, willful misconduct, or gross negligence.</w:t>
      </w:r>
    </w:p>
    <w:p>
      <w:pPr>
        <w:spacing w:after="80" w:before="160" w:line="276" w:lineRule="auto"/>
        <w:ind w:left="360"/>
      </w:pPr>
      <w:r>
        <w:rPr>
          <w:rFonts w:ascii="Times New Roman" w:cs="Times New Roman" w:eastAsia="Times New Roman" w:hAnsi="Times New Roman"/>
          <w:b/>
          <w:bCs/>
          <w:color w:val="000000"/>
          <w:sz w:val="24"/>
          <w:szCs w:val="24"/>
        </w:rPr>
        <w:t xml:space="preserve">Section 7.2  Limitation of Liability.</w:t>
      </w:r>
    </w:p>
    <w:p>
      <w:pPr>
        <w:spacing w:after="120" w:before="0" w:line="276" w:lineRule="auto"/>
        <w:ind w:left="360"/>
      </w:pPr>
      <w:r>
        <w:rPr>
          <w:rFonts w:ascii="Times New Roman" w:cs="Times New Roman" w:eastAsia="Times New Roman" w:hAnsi="Times New Roman"/>
          <w:color w:val="000000"/>
          <w:sz w:val="24"/>
          <w:szCs w:val="24"/>
        </w:rPr>
        <w:t xml:space="preserve">No Member or officer of the Company shall be personally liable for any debt, obligation, or liability of the Company solely by reason of being a Member or officer, except to the extent required by applicable law.</w:t>
      </w:r>
    </w:p>
    <w:p>
      <w:pPr>
        <w:spacing w:after="80" w:before="160" w:line="276" w:lineRule="auto"/>
        <w:ind w:left="360"/>
      </w:pPr>
      <w:r>
        <w:rPr>
          <w:rFonts w:ascii="Times New Roman" w:cs="Times New Roman" w:eastAsia="Times New Roman" w:hAnsi="Times New Roman"/>
          <w:b/>
          <w:bCs/>
          <w:color w:val="000000"/>
          <w:sz w:val="24"/>
          <w:szCs w:val="24"/>
        </w:rPr>
        <w:t xml:space="preserve">Section 7.3  Insurance.</w:t>
      </w:r>
    </w:p>
    <w:p>
      <w:pPr>
        <w:spacing w:after="120" w:before="0" w:line="276" w:lineRule="auto"/>
        <w:ind w:left="360"/>
      </w:pPr>
      <w:r>
        <w:rPr>
          <w:rFonts w:ascii="Times New Roman" w:cs="Times New Roman" w:eastAsia="Times New Roman" w:hAnsi="Times New Roman"/>
          <w:color w:val="000000"/>
          <w:sz w:val="24"/>
          <w:szCs w:val="24"/>
        </w:rPr>
        <w:t xml:space="preserve">The Company shall use commercially reasonable efforts to obtain and maintain appropriate insurance coverage, including general liability, errors and omissions, directors and officers, and cybersecurity insurance, as determined by the Members.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VIII</w:t>
      </w:r>
      <w:r>
        <w:rPr>
          <w:rFonts w:ascii="Times New Roman" w:cs="Times New Roman" w:eastAsia="Times New Roman" w:hAnsi="Times New Roman"/>
          <w:b/>
          <w:bCs/>
          <w:color w:val="000000"/>
          <w:sz w:val="24"/>
          <w:szCs w:val="24"/>
        </w:rPr>
        <w:t xml:space="preserve">     INTELLECTUAL PROPERTY</w:t>
      </w:r>
    </w:p>
    <w:p>
      <w:pPr>
        <w:spacing w:after="80" w:before="160" w:line="276" w:lineRule="auto"/>
        <w:ind w:left="360"/>
      </w:pPr>
      <w:r>
        <w:rPr>
          <w:rFonts w:ascii="Times New Roman" w:cs="Times New Roman" w:eastAsia="Times New Roman" w:hAnsi="Times New Roman"/>
          <w:b/>
          <w:bCs/>
          <w:color w:val="000000"/>
          <w:sz w:val="24"/>
          <w:szCs w:val="24"/>
        </w:rPr>
        <w:t xml:space="preserve">Section 8.1  Company IP.</w:t>
      </w:r>
    </w:p>
    <w:p>
      <w:pPr>
        <w:spacing w:after="120" w:before="0" w:line="276" w:lineRule="auto"/>
        <w:ind w:left="360"/>
      </w:pPr>
      <w:r>
        <w:rPr>
          <w:rFonts w:ascii="Times New Roman" w:cs="Times New Roman" w:eastAsia="Times New Roman" w:hAnsi="Times New Roman"/>
          <w:color w:val="000000"/>
          <w:sz w:val="24"/>
          <w:szCs w:val="24"/>
        </w:rPr>
        <w:t xml:space="preserve">All intellectual property created, developed, or acquired in connection with the business of the Company, including but not limited to the Vylapp platform, source code, trademarks, trade names, logos, domain names, user data, and proprietary algorithms, shall be the sole and exclusive property of the Company.</w:t>
      </w:r>
    </w:p>
    <w:p>
      <w:pPr>
        <w:spacing w:after="80" w:before="160" w:line="276" w:lineRule="auto"/>
        <w:ind w:left="360"/>
      </w:pPr>
      <w:r>
        <w:rPr>
          <w:rFonts w:ascii="Times New Roman" w:cs="Times New Roman" w:eastAsia="Times New Roman" w:hAnsi="Times New Roman"/>
          <w:b/>
          <w:bCs/>
          <w:color w:val="000000"/>
          <w:sz w:val="24"/>
          <w:szCs w:val="24"/>
        </w:rPr>
        <w:t xml:space="preserve">Section 8.2  Assignment by Members.</w:t>
      </w:r>
    </w:p>
    <w:p>
      <w:pPr>
        <w:spacing w:after="120" w:before="0" w:line="276" w:lineRule="auto"/>
        <w:ind w:left="360"/>
      </w:pPr>
      <w:r>
        <w:rPr>
          <w:rFonts w:ascii="Times New Roman" w:cs="Times New Roman" w:eastAsia="Times New Roman" w:hAnsi="Times New Roman"/>
          <w:color w:val="000000"/>
          <w:sz w:val="24"/>
          <w:szCs w:val="24"/>
        </w:rPr>
        <w:t xml:space="preserve">Each Member hereby assigns to the Company all right, title, and interest in and to any intellectual property created by such Member in the scope of their duties for the Company. Each Member agrees to execute any additional documents necessary to effectuate such assignment.</w:t>
      </w:r>
    </w:p>
    <w:p>
      <w:pPr>
        <w:spacing w:after="80" w:before="160" w:line="276" w:lineRule="auto"/>
        <w:ind w:left="360"/>
      </w:pPr>
      <w:r>
        <w:rPr>
          <w:rFonts w:ascii="Times New Roman" w:cs="Times New Roman" w:eastAsia="Times New Roman" w:hAnsi="Times New Roman"/>
          <w:b/>
          <w:bCs/>
          <w:color w:val="000000"/>
          <w:sz w:val="24"/>
          <w:szCs w:val="24"/>
        </w:rPr>
        <w:t xml:space="preserve">Section 8.3  Confidentiality.</w:t>
      </w:r>
    </w:p>
    <w:p>
      <w:pPr>
        <w:spacing w:after="120" w:before="0" w:line="276" w:lineRule="auto"/>
        <w:ind w:left="360"/>
      </w:pPr>
      <w:r>
        <w:rPr>
          <w:rFonts w:ascii="Times New Roman" w:cs="Times New Roman" w:eastAsia="Times New Roman" w:hAnsi="Times New Roman"/>
          <w:color w:val="000000"/>
          <w:sz w:val="24"/>
          <w:szCs w:val="24"/>
        </w:rPr>
        <w:t xml:space="preserve">Each Member agrees to keep confidential all non-public information relating to the Company's business, technology, financial condition, customers, and strategic plans, and shall not disclose such information to any third party without the prior written consent of the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8.4  Non-Competition.</w:t>
      </w:r>
    </w:p>
    <w:p>
      <w:pPr>
        <w:spacing w:after="120" w:before="0" w:line="276" w:lineRule="auto"/>
        <w:ind w:left="360"/>
      </w:pPr>
      <w:r>
        <w:rPr>
          <w:rFonts w:ascii="Times New Roman" w:cs="Times New Roman" w:eastAsia="Times New Roman" w:hAnsi="Times New Roman"/>
          <w:color w:val="000000"/>
          <w:sz w:val="24"/>
          <w:szCs w:val="24"/>
        </w:rPr>
        <w:t xml:space="preserve">During the term of their membership and for a period of one (1) year following the termination of their membership, no Member shall directly or indirectly engage in, own, manage, operate, or provide services to any business that competes directly with the Company's core platform business within the United States, to the extent permitted by applicable law.</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IX</w:t>
      </w:r>
      <w:r>
        <w:rPr>
          <w:rFonts w:ascii="Times New Roman" w:cs="Times New Roman" w:eastAsia="Times New Roman" w:hAnsi="Times New Roman"/>
          <w:b/>
          <w:bCs/>
          <w:color w:val="000000"/>
          <w:sz w:val="24"/>
          <w:szCs w:val="24"/>
        </w:rPr>
        <w:t xml:space="preserve">     DISSOLUTION AND WINDING UP</w:t>
      </w:r>
    </w:p>
    <w:p>
      <w:pPr>
        <w:spacing w:after="80" w:before="160" w:line="276" w:lineRule="auto"/>
        <w:ind w:left="360"/>
      </w:pPr>
      <w:r>
        <w:rPr>
          <w:rFonts w:ascii="Times New Roman" w:cs="Times New Roman" w:eastAsia="Times New Roman" w:hAnsi="Times New Roman"/>
          <w:b/>
          <w:bCs/>
          <w:color w:val="000000"/>
          <w:sz w:val="24"/>
          <w:szCs w:val="24"/>
        </w:rPr>
        <w:t xml:space="preserve">Section 9.1  Events of Dissolution.</w:t>
      </w:r>
    </w:p>
    <w:p>
      <w:pPr>
        <w:spacing w:after="120" w:before="0" w:line="276" w:lineRule="auto"/>
        <w:ind w:left="360"/>
      </w:pPr>
      <w:r>
        <w:rPr>
          <w:rFonts w:ascii="Times New Roman" w:cs="Times New Roman" w:eastAsia="Times New Roman" w:hAnsi="Times New Roman"/>
          <w:color w:val="000000"/>
          <w:sz w:val="24"/>
          <w:szCs w:val="24"/>
        </w:rPr>
        <w:t xml:space="preserve">The Company shall be dissolved upon:</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The unanimous written consent of all Members;</w:t>
      </w:r>
    </w:p>
    <w:p>
      <w:pPr>
        <w:pStyle w:val="ListParagraph"/>
        <w:numPr>
          <w:ilvl w:val="0"/>
          <w:numId w:val="2"/>
        </w:numPr>
        <w:spacing w:after="120" w:before="0"/>
      </w:pPr>
      <w:r>
        <w:rPr>
          <w:rFonts w:ascii="Times New Roman" w:cs="Times New Roman" w:eastAsia="Times New Roman" w:hAnsi="Times New Roman"/>
          <w:color w:val="000000"/>
          <w:sz w:val="24"/>
          <w:szCs w:val="24"/>
        </w:rPr>
        <w:t xml:space="preserve">The entry of a judicial decree of dissolution; or</w:t>
      </w:r>
    </w:p>
    <w:p>
      <w:pPr>
        <w:pStyle w:val="ListParagraph"/>
        <w:numPr>
          <w:ilvl w:val="0"/>
          <w:numId w:val="2"/>
        </w:numPr>
        <w:spacing w:after="160" w:before="0"/>
      </w:pPr>
      <w:r>
        <w:rPr>
          <w:rFonts w:ascii="Times New Roman" w:cs="Times New Roman" w:eastAsia="Times New Roman" w:hAnsi="Times New Roman"/>
          <w:color w:val="000000"/>
          <w:sz w:val="24"/>
          <w:szCs w:val="24"/>
        </w:rPr>
        <w:t xml:space="preserve">Any other event causing dissolution under Indiana law.</w:t>
      </w:r>
    </w:p>
    <w:p>
      <w:pPr>
        <w:spacing w:after="80" w:before="160" w:line="276" w:lineRule="auto"/>
        <w:ind w:left="360"/>
      </w:pPr>
      <w:r>
        <w:rPr>
          <w:rFonts w:ascii="Times New Roman" w:cs="Times New Roman" w:eastAsia="Times New Roman" w:hAnsi="Times New Roman"/>
          <w:b/>
          <w:bCs/>
          <w:color w:val="000000"/>
          <w:sz w:val="24"/>
          <w:szCs w:val="24"/>
        </w:rPr>
        <w:t xml:space="preserve">Section 9.2  Winding Up.</w:t>
      </w:r>
    </w:p>
    <w:p>
      <w:pPr>
        <w:spacing w:after="120" w:before="0" w:line="276" w:lineRule="auto"/>
        <w:ind w:left="360"/>
      </w:pPr>
      <w:r>
        <w:rPr>
          <w:rFonts w:ascii="Times New Roman" w:cs="Times New Roman" w:eastAsia="Times New Roman" w:hAnsi="Times New Roman"/>
          <w:color w:val="000000"/>
          <w:sz w:val="24"/>
          <w:szCs w:val="24"/>
        </w:rPr>
        <w:t xml:space="preserve">Upon dissolution, the Company's affairs shall be wound up by the Members (or a liquidating trustee appointed by the Members). The assets of the Company shall be distributed in the following order: (a) to creditors; (b) to Members in respect of any unpaid Member loans; (c) to Members in proportion to their Capital Account balances; and (d) to Members in proportion to their Membership Interests.</w:t>
      </w:r>
    </w:p>
    <w:p>
      <w:pPr>
        <w:spacing w:after="80" w:before="160" w:line="276" w:lineRule="auto"/>
        <w:ind w:left="360"/>
      </w:pPr>
      <w:r>
        <w:rPr>
          <w:rFonts w:ascii="Times New Roman" w:cs="Times New Roman" w:eastAsia="Times New Roman" w:hAnsi="Times New Roman"/>
          <w:b/>
          <w:bCs/>
          <w:color w:val="000000"/>
          <w:sz w:val="24"/>
          <w:szCs w:val="24"/>
        </w:rPr>
        <w:t xml:space="preserve">Section 9.3  Articles of Dissolution.</w:t>
      </w:r>
    </w:p>
    <w:p>
      <w:pPr>
        <w:spacing w:after="120" w:before="0" w:line="276" w:lineRule="auto"/>
        <w:ind w:left="360"/>
      </w:pPr>
      <w:r>
        <w:rPr>
          <w:rFonts w:ascii="Times New Roman" w:cs="Times New Roman" w:eastAsia="Times New Roman" w:hAnsi="Times New Roman"/>
          <w:color w:val="000000"/>
          <w:sz w:val="24"/>
          <w:szCs w:val="24"/>
        </w:rPr>
        <w:t xml:space="preserve">Upon completion of the winding up process, the Company shall file Articles of Dissolution with the Indiana Secretary of State in accordance with applicable law.</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X</w:t>
      </w:r>
      <w:r>
        <w:rPr>
          <w:rFonts w:ascii="Times New Roman" w:cs="Times New Roman" w:eastAsia="Times New Roman" w:hAnsi="Times New Roman"/>
          <w:b/>
          <w:bCs/>
          <w:color w:val="000000"/>
          <w:sz w:val="24"/>
          <w:szCs w:val="24"/>
        </w:rPr>
        <w:t xml:space="preserve">     GENERAL PROVISIONS</w:t>
      </w:r>
    </w:p>
    <w:p>
      <w:pPr>
        <w:spacing w:after="80" w:before="160" w:line="276" w:lineRule="auto"/>
        <w:ind w:left="360"/>
      </w:pPr>
      <w:r>
        <w:rPr>
          <w:rFonts w:ascii="Times New Roman" w:cs="Times New Roman" w:eastAsia="Times New Roman" w:hAnsi="Times New Roman"/>
          <w:b/>
          <w:bCs/>
          <w:color w:val="000000"/>
          <w:sz w:val="24"/>
          <w:szCs w:val="24"/>
        </w:rPr>
        <w:t xml:space="preserve">Section 10.1  Entire Agreement.</w:t>
      </w:r>
    </w:p>
    <w:p>
      <w:pPr>
        <w:spacing w:after="120" w:before="0" w:line="276" w:lineRule="auto"/>
        <w:ind w:left="360"/>
      </w:pPr>
      <w:r>
        <w:rPr>
          <w:rFonts w:ascii="Times New Roman" w:cs="Times New Roman" w:eastAsia="Times New Roman" w:hAnsi="Times New Roman"/>
          <w:color w:val="000000"/>
          <w:sz w:val="24"/>
          <w:szCs w:val="24"/>
        </w:rPr>
        <w:t xml:space="preserve">This Agreement constitutes the entire agreement among the Members with respect to the subject matter hereof and supersedes all prior agreements, understandings, and negotiations.</w:t>
      </w:r>
    </w:p>
    <w:p>
      <w:pPr>
        <w:spacing w:after="80" w:before="160" w:line="276" w:lineRule="auto"/>
        <w:ind w:left="360"/>
      </w:pPr>
      <w:r>
        <w:rPr>
          <w:rFonts w:ascii="Times New Roman" w:cs="Times New Roman" w:eastAsia="Times New Roman" w:hAnsi="Times New Roman"/>
          <w:b/>
          <w:bCs/>
          <w:color w:val="000000"/>
          <w:sz w:val="24"/>
          <w:szCs w:val="24"/>
        </w:rPr>
        <w:t xml:space="preserve">Section 10.2  Amendments.</w:t>
      </w:r>
    </w:p>
    <w:p>
      <w:pPr>
        <w:spacing w:after="120" w:before="0" w:line="276" w:lineRule="auto"/>
        <w:ind w:left="360"/>
      </w:pPr>
      <w:r>
        <w:rPr>
          <w:rFonts w:ascii="Times New Roman" w:cs="Times New Roman" w:eastAsia="Times New Roman" w:hAnsi="Times New Roman"/>
          <w:color w:val="000000"/>
          <w:sz w:val="24"/>
          <w:szCs w:val="24"/>
        </w:rPr>
        <w:t xml:space="preserve">This Agreement may be amended only by a written instrument signed by all Members.</w:t>
      </w:r>
    </w:p>
    <w:p>
      <w:pPr>
        <w:spacing w:after="80" w:before="160" w:line="276" w:lineRule="auto"/>
        <w:ind w:left="360"/>
      </w:pPr>
      <w:r>
        <w:rPr>
          <w:rFonts w:ascii="Times New Roman" w:cs="Times New Roman" w:eastAsia="Times New Roman" w:hAnsi="Times New Roman"/>
          <w:b/>
          <w:bCs/>
          <w:color w:val="000000"/>
          <w:sz w:val="24"/>
          <w:szCs w:val="24"/>
        </w:rPr>
        <w:t xml:space="preserve">Section 10.3  Governing Law.</w:t>
      </w:r>
    </w:p>
    <w:p>
      <w:pPr>
        <w:spacing w:after="120" w:before="0" w:line="276" w:lineRule="auto"/>
        <w:ind w:left="360"/>
      </w:pPr>
      <w:r>
        <w:rPr>
          <w:rFonts w:ascii="Times New Roman" w:cs="Times New Roman" w:eastAsia="Times New Roman" w:hAnsi="Times New Roman"/>
          <w:color w:val="000000"/>
          <w:sz w:val="24"/>
          <w:szCs w:val="24"/>
        </w:rPr>
        <w:t xml:space="preserve">This Agreement shall be governed by and construed in accordance with the laws of the State of Indiana, without regard to its conflict of laws provisions.</w:t>
      </w:r>
    </w:p>
    <w:p>
      <w:pPr>
        <w:spacing w:after="80" w:before="160" w:line="276" w:lineRule="auto"/>
        <w:ind w:left="360"/>
      </w:pPr>
      <w:r>
        <w:rPr>
          <w:rFonts w:ascii="Times New Roman" w:cs="Times New Roman" w:eastAsia="Times New Roman" w:hAnsi="Times New Roman"/>
          <w:b/>
          <w:bCs/>
          <w:color w:val="000000"/>
          <w:sz w:val="24"/>
          <w:szCs w:val="24"/>
        </w:rPr>
        <w:t xml:space="preserve">Section 10.4  Dispute Resolution.</w:t>
      </w:r>
    </w:p>
    <w:p>
      <w:pPr>
        <w:spacing w:after="120" w:before="0" w:line="276" w:lineRule="auto"/>
        <w:ind w:left="360"/>
      </w:pPr>
      <w:r>
        <w:rPr>
          <w:rFonts w:ascii="Times New Roman" w:cs="Times New Roman" w:eastAsia="Times New Roman" w:hAnsi="Times New Roman"/>
          <w:color w:val="000000"/>
          <w:sz w:val="24"/>
          <w:szCs w:val="24"/>
        </w:rPr>
        <w:t xml:space="preserve">Any dispute arising out of or relating to this Agreement shall first be subject to good-faith negotiation for thirty (30) days, then non-binding mediation, and thereafter to binding arbitration conducted in Indianapolis, Indiana under the rules of the American Arbitration Association.</w:t>
      </w:r>
    </w:p>
    <w:p>
      <w:pPr>
        <w:spacing w:after="80" w:before="160" w:line="276" w:lineRule="auto"/>
        <w:ind w:left="360"/>
      </w:pPr>
      <w:r>
        <w:rPr>
          <w:rFonts w:ascii="Times New Roman" w:cs="Times New Roman" w:eastAsia="Times New Roman" w:hAnsi="Times New Roman"/>
          <w:b/>
          <w:bCs/>
          <w:color w:val="000000"/>
          <w:sz w:val="24"/>
          <w:szCs w:val="24"/>
        </w:rPr>
        <w:t xml:space="preserve">Section 10.5  Severability.</w:t>
      </w:r>
    </w:p>
    <w:p>
      <w:pPr>
        <w:spacing w:after="120" w:before="0" w:line="276" w:lineRule="auto"/>
        <w:ind w:left="360"/>
      </w:pPr>
      <w:r>
        <w:rPr>
          <w:rFonts w:ascii="Times New Roman" w:cs="Times New Roman" w:eastAsia="Times New Roman" w:hAnsi="Times New Roman"/>
          <w:color w:val="000000"/>
          <w:sz w:val="24"/>
          <w:szCs w:val="24"/>
        </w:rPr>
        <w:t xml:space="preserve">If any provision of this Agreement is held to be invalid or unenforceable, such provision shall be modified to the minimum extent necessary to make it valid and enforceable, and the remaining provisions shall continue in full force and effect.</w:t>
      </w:r>
    </w:p>
    <w:p>
      <w:pPr>
        <w:spacing w:after="80" w:before="160" w:line="276" w:lineRule="auto"/>
        <w:ind w:left="360"/>
      </w:pPr>
      <w:r>
        <w:rPr>
          <w:rFonts w:ascii="Times New Roman" w:cs="Times New Roman" w:eastAsia="Times New Roman" w:hAnsi="Times New Roman"/>
          <w:b/>
          <w:bCs/>
          <w:color w:val="000000"/>
          <w:sz w:val="24"/>
          <w:szCs w:val="24"/>
        </w:rPr>
        <w:t xml:space="preserve">Section 10.6  Notices.</w:t>
      </w:r>
    </w:p>
    <w:p>
      <w:pPr>
        <w:spacing w:after="120" w:before="0" w:line="276" w:lineRule="auto"/>
        <w:ind w:left="360"/>
      </w:pPr>
      <w:r>
        <w:rPr>
          <w:rFonts w:ascii="Times New Roman" w:cs="Times New Roman" w:eastAsia="Times New Roman" w:hAnsi="Times New Roman"/>
          <w:color w:val="000000"/>
          <w:sz w:val="24"/>
          <w:szCs w:val="24"/>
        </w:rPr>
        <w:t xml:space="preserve">All notices under this Agreement shall be in writing and delivered by hand, certified mail, or email with confirmation of receipt to each Member's address set forth in Exhibit A.</w:t>
      </w:r>
    </w:p>
    <w:p>
      <w:pPr>
        <w:spacing w:after="80" w:before="160" w:line="276" w:lineRule="auto"/>
        <w:ind w:left="360"/>
      </w:pPr>
      <w:r>
        <w:rPr>
          <w:rFonts w:ascii="Times New Roman" w:cs="Times New Roman" w:eastAsia="Times New Roman" w:hAnsi="Times New Roman"/>
          <w:b/>
          <w:bCs/>
          <w:color w:val="000000"/>
          <w:sz w:val="24"/>
          <w:szCs w:val="24"/>
        </w:rPr>
        <w:t xml:space="preserve">Section 10.7  Counterparts.</w:t>
      </w:r>
    </w:p>
    <w:p>
      <w:pPr>
        <w:spacing w:after="120" w:before="0" w:line="276" w:lineRule="auto"/>
        <w:ind w:left="360"/>
      </w:pPr>
      <w:r>
        <w:rPr>
          <w:rFonts w:ascii="Times New Roman" w:cs="Times New Roman" w:eastAsia="Times New Roman" w:hAnsi="Times New Roman"/>
          <w:color w:val="000000"/>
          <w:sz w:val="24"/>
          <w:szCs w:val="24"/>
        </w:rPr>
        <w:t xml:space="preserve">This Agreement may be executed in counterparts, each of which shall be deemed an original, and all of which together shall constitute one and the same instrument. Electronic signatures shall be deemed valid.</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00" w:before="200"/>
      </w:pPr>
      <w:r>
        <w:rPr>
          <w:rFonts w:ascii="Times New Roman" w:cs="Times New Roman" w:eastAsia="Times New Roman" w:hAnsi="Times New Roman"/>
          <w:b/>
          <w:bCs/>
          <w:sz w:val="24"/>
          <w:szCs w:val="24"/>
          <w:u w:val="single"/>
        </w:rPr>
        <w:t xml:space="preserve">IN WITNESS WHEREOF</w:t>
      </w:r>
    </w:p>
    <w:p>
      <w:pPr>
        <w:spacing w:after="140" w:before="0" w:line="276" w:lineRule="auto"/>
        <w:jc w:val="both"/>
      </w:pPr>
      <w:r>
        <w:rPr>
          <w:rFonts w:ascii="Times New Roman" w:cs="Times New Roman" w:eastAsia="Times New Roman" w:hAnsi="Times New Roman"/>
          <w:color w:val="000000"/>
          <w:sz w:val="24"/>
          <w:szCs w:val="24"/>
        </w:rPr>
        <w:t xml:space="preserve">the Members have executed this Operating Agreement as of the date first written above.</w:t>
      </w:r>
    </w:p>
    <w:p>
      <w:pPr>
        <w:spacing w:after="0" w:before="0"/>
      </w:pPr>
      <w:r>
        <w:rPr>
          <w:rFonts w:ascii="Times New Roman" w:cs="Times New Roman" w:eastAsia="Times New Roman" w:hAnsi="Times New Roman"/>
          <w:color w:val="000000"/>
          <w:sz w:val="24"/>
          <w:szCs w:val="24"/>
        </w:rPr>
        <w:t xml:space="preserve"/>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Member Signature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Membership Interest (%)</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80" w:before="480"/>
        <w:jc w:val="center"/>
      </w:pPr>
      <w:r>
        <w:rPr>
          <w:rFonts w:ascii="Times New Roman" w:cs="Times New Roman" w:eastAsia="Times New Roman" w:hAnsi="Times New Roman"/>
          <w:b/>
          <w:bCs/>
          <w:sz w:val="28"/>
          <w:szCs w:val="28"/>
          <w:u w:val="single"/>
        </w:rPr>
        <w:t xml:space="preserve">EXHIBIT A</w:t>
      </w:r>
    </w:p>
    <w:p>
      <w:pPr>
        <w:spacing w:after="240" w:before="0"/>
        <w:jc w:val="center"/>
      </w:pPr>
      <w:r>
        <w:rPr>
          <w:rFonts w:ascii="Times New Roman" w:cs="Times New Roman" w:eastAsia="Times New Roman" w:hAnsi="Times New Roman"/>
          <w:b/>
          <w:bCs/>
          <w:sz w:val="24"/>
          <w:szCs w:val="24"/>
        </w:rPr>
        <w:t xml:space="preserve">MEMBERS, CAPITAL CONTRIBUTIONS, AND MEMBERSHIP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100"/>
        <w:gridCol w:w="2100"/>
      </w:tblGrid>
      <w:tr>
        <w:tc>
          <w:tcPr>
            <w:tcW w:type="dxa" w:w="26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Member Name</w:t>
            </w:r>
          </w:p>
        </w:tc>
        <w:tc>
          <w:tcPr>
            <w:tcW w:type="dxa" w:w="256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Address</w:t>
            </w:r>
          </w:p>
        </w:tc>
        <w:tc>
          <w:tcPr>
            <w:tcW w:type="dxa" w:w="21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Capital Contribution</w:t>
            </w:r>
          </w:p>
        </w:tc>
        <w:tc>
          <w:tcPr>
            <w:tcW w:type="dxa" w:w="21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Membership Interest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Temim Bashiru</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1680 Foyt Dr, Apt D
Indianapolis, IN 46224</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 %</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[Additional Member]</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[Address]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 %</w:t>
            </w:r>
          </w:p>
        </w:tc>
      </w:tr>
      <w:tr>
        <w:tc>
          <w:tcPr>
            <w:tcW w:type="dxa" w:w="26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TOTAL</w:t>
            </w:r>
          </w:p>
        </w:tc>
        <w:tc>
          <w:tcPr>
            <w:tcW w:type="dxa" w:w="256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w:r>
          </w:p>
        </w:tc>
        <w:tc>
          <w:tcPr>
            <w:tcW w:type="dxa" w:w="21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$__________</w:t>
            </w:r>
          </w:p>
        </w:tc>
        <w:tc>
          <w:tcPr>
            <w:tcW w:type="dxa" w:w="21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100%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Operating Agreement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2026-05-18T02:20:49.648Z</dcterms:created>
  <dcterms:modified xsi:type="dcterms:W3CDTF">2026-05-18T02:20:49.660Z</dcterms:modified>
</cp:coreProperties>
</file>

<file path=docProps/custom.xml><?xml version="1.0" encoding="utf-8"?>
<Properties xmlns="http://schemas.openxmlformats.org/officeDocument/2006/custom-properties" xmlns:vt="http://schemas.openxmlformats.org/officeDocument/2006/docPropsVTypes"/>
</file>