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Calibri" w:cs="Calibri" w:eastAsia="Calibri" w:hAnsi="Calibri"/>
          <w:b/>
          <w:bCs/>
          <w:color w:val="7C6FF7"/>
          <w:sz w:val="64"/>
          <w:szCs w:val="64"/>
        </w:rPr>
        <w:t xml:space="preserve">VYLAPP</w:t>
      </w:r>
    </w:p>
    <w:p>
      <w:pPr>
        <w:spacing w:after="60"/>
        <w:jc w:val="center"/>
      </w:pPr>
      <w:r>
        <w:rPr>
          <w:rFonts w:ascii="Calibri" w:cs="Calibri" w:eastAsia="Calibri" w:hAnsi="Calibri"/>
          <w:b/>
          <w:bCs/>
          <w:color w:val="1A1533"/>
          <w:sz w:val="34"/>
          <w:szCs w:val="34"/>
        </w:rPr>
        <w:t xml:space="preserve">MISSION &amp; VISION STATEMENT</w:t>
      </w:r>
    </w:p>
    <w:p>
      <w:pPr>
        <w:spacing w:after="300"/>
        <w:jc w:val="center"/>
      </w:pPr>
      <w:r>
        <w:rPr>
          <w:rFonts w:ascii="Calibri" w:cs="Calibri" w:eastAsia="Calibri" w:hAnsi="Calibri"/>
          <w:i/>
          <w:iCs/>
          <w:color w:val="1D9E75"/>
          <w:sz w:val="26"/>
          <w:szCs w:val="26"/>
        </w:rPr>
        <w:t xml:space="preserve">Vibe.  Learn.  Connect.</w:t>
      </w:r>
    </w:p>
    <w:tbl>
      <w:tblPr>
        <w:tblW w:type="dxa" w:w="9360"/>
        <w:tblBorders>
          <w:top w:val="none" w:color="FFFFFF" w:sz="0"/>
          <w:left w:val="none" w:color="FFFFFF" w:sz="0"/>
          <w:bottom w:val="none" w:color="FFFFFF" w:sz="0"/>
          <w:right w:val="none" w:color="FFFFFF" w:sz="0"/>
          <w:insideH w:val="single" w:color="E5E1F5" w:sz="2"/>
          <w:insideV w:val="none" w:color="FFFFFF" w:sz="0"/>
        </w:tblBorders>
      </w:tblPr>
      <w:tblGrid>
        <w:gridCol w:w="2340"/>
        <w:gridCol w:w="7020"/>
      </w:tblGrid>
      <w:tr>
        <w:tc>
          <w:tcPr>
            <w:tcW w:type="dxa" w:w="2340"/>
            <w:tcMar>
              <w:top w:type="dxa" w:w="90"/>
              <w:left w:type="dxa" w:w="120"/>
              <w:bottom w:type="dxa" w:w="90"/>
              <w:right w:type="dxa" w:w="120"/>
            </w:tcMar>
          </w:tcPr>
          <w:p>
            <w:r>
              <w:rPr>
                <w:rFonts w:ascii="Calibri" w:cs="Calibri" w:eastAsia="Calibri" w:hAnsi="Calibri"/>
                <w:b/>
                <w:bCs/>
                <w:color w:val="7C6FF7"/>
                <w:sz w:val="20"/>
                <w:szCs w:val="20"/>
              </w:rPr>
              <w:t xml:space="preserve">Company</w:t>
            </w:r>
          </w:p>
        </w:tc>
        <w:tc>
          <w:tcPr>
            <w:tcW w:type="dxa" w:w="7020"/>
            <w:tcMar>
              <w:top w:type="dxa" w:w="90"/>
              <w:left w:type="dxa" w:w="120"/>
              <w:bottom w:type="dxa" w:w="90"/>
              <w:right w:type="dxa" w:w="120"/>
            </w:tcMar>
          </w:tcPr>
          <w:p>
            <w:r>
              <w:rPr>
                <w:rFonts w:ascii="Calibri" w:cs="Calibri" w:eastAsia="Calibri" w:hAnsi="Calibri"/>
                <w:color w:val="2B2740"/>
                <w:sz w:val="20"/>
                <w:szCs w:val="20"/>
              </w:rPr>
              <w:t xml:space="preserve">Vylapp LLC — Indianapolis, Indiana</w:t>
            </w:r>
          </w:p>
        </w:tc>
      </w:tr>
      <w:tr>
        <w:tc>
          <w:tcPr>
            <w:tcW w:type="dxa" w:w="2340"/>
            <w:tcMar>
              <w:top w:type="dxa" w:w="90"/>
              <w:left w:type="dxa" w:w="120"/>
              <w:bottom w:type="dxa" w:w="90"/>
              <w:right w:type="dxa" w:w="120"/>
            </w:tcMar>
          </w:tcPr>
          <w:p>
            <w:r>
              <w:rPr>
                <w:rFonts w:ascii="Calibri" w:cs="Calibri" w:eastAsia="Calibri" w:hAnsi="Calibri"/>
                <w:b/>
                <w:bCs/>
                <w:color w:val="7C6FF7"/>
                <w:sz w:val="20"/>
                <w:szCs w:val="20"/>
              </w:rPr>
              <w:t xml:space="preserve">Document</w:t>
            </w:r>
          </w:p>
        </w:tc>
        <w:tc>
          <w:tcPr>
            <w:tcW w:type="dxa" w:w="7020"/>
            <w:tcMar>
              <w:top w:type="dxa" w:w="90"/>
              <w:left w:type="dxa" w:w="120"/>
              <w:bottom w:type="dxa" w:w="90"/>
              <w:right w:type="dxa" w:w="120"/>
            </w:tcMar>
          </w:tcPr>
          <w:p>
            <w:r>
              <w:rPr>
                <w:rFonts w:ascii="Calibri" w:cs="Calibri" w:eastAsia="Calibri" w:hAnsi="Calibri"/>
                <w:color w:val="2B2740"/>
                <w:sz w:val="20"/>
                <w:szCs w:val="20"/>
              </w:rPr>
              <w:t xml:space="preserve">Mission &amp; Vision Statement — Canonical Version</w:t>
            </w:r>
          </w:p>
        </w:tc>
      </w:tr>
      <w:tr>
        <w:tc>
          <w:tcPr>
            <w:tcW w:type="dxa" w:w="2340"/>
            <w:tcMar>
              <w:top w:type="dxa" w:w="90"/>
              <w:left w:type="dxa" w:w="120"/>
              <w:bottom w:type="dxa" w:w="90"/>
              <w:right w:type="dxa" w:w="120"/>
            </w:tcMar>
          </w:tcPr>
          <w:p>
            <w:r>
              <w:rPr>
                <w:rFonts w:ascii="Calibri" w:cs="Calibri" w:eastAsia="Calibri" w:hAnsi="Calibri"/>
                <w:b/>
                <w:bCs/>
                <w:color w:val="7C6FF7"/>
                <w:sz w:val="20"/>
                <w:szCs w:val="20"/>
              </w:rPr>
              <w:t xml:space="preserve">Version</w:t>
            </w:r>
          </w:p>
        </w:tc>
        <w:tc>
          <w:tcPr>
            <w:tcW w:type="dxa" w:w="7020"/>
            <w:tcMar>
              <w:top w:type="dxa" w:w="90"/>
              <w:left w:type="dxa" w:w="120"/>
              <w:bottom w:type="dxa" w:w="90"/>
              <w:right w:type="dxa" w:w="120"/>
            </w:tcMar>
          </w:tcPr>
          <w:p>
            <w:r>
              <w:rPr>
                <w:rFonts w:ascii="Calibri" w:cs="Calibri" w:eastAsia="Calibri" w:hAnsi="Calibri"/>
                <w:color w:val="2B2740"/>
                <w:sz w:val="20"/>
                <w:szCs w:val="20"/>
              </w:rPr>
              <w:t xml:space="preserve">1.0  ·  2026</w:t>
            </w:r>
          </w:p>
        </w:tc>
      </w:tr>
      <w:tr>
        <w:tc>
          <w:tcPr>
            <w:tcW w:type="dxa" w:w="2340"/>
            <w:tcMar>
              <w:top w:type="dxa" w:w="90"/>
              <w:left w:type="dxa" w:w="120"/>
              <w:bottom w:type="dxa" w:w="90"/>
              <w:right w:type="dxa" w:w="120"/>
            </w:tcMar>
          </w:tcPr>
          <w:p>
            <w:r>
              <w:rPr>
                <w:rFonts w:ascii="Calibri" w:cs="Calibri" w:eastAsia="Calibri" w:hAnsi="Calibri"/>
                <w:b/>
                <w:bCs/>
                <w:color w:val="7C6FF7"/>
                <w:sz w:val="20"/>
                <w:szCs w:val="20"/>
              </w:rPr>
              <w:t xml:space="preserve">Status</w:t>
            </w:r>
          </w:p>
        </w:tc>
        <w:tc>
          <w:tcPr>
            <w:tcW w:type="dxa" w:w="7020"/>
            <w:tcMar>
              <w:top w:type="dxa" w:w="90"/>
              <w:left w:type="dxa" w:w="120"/>
              <w:bottom w:type="dxa" w:w="90"/>
              <w:right w:type="dxa" w:w="120"/>
            </w:tcMar>
          </w:tcPr>
          <w:p>
            <w:r>
              <w:rPr>
                <w:rFonts w:ascii="Calibri" w:cs="Calibri" w:eastAsia="Calibri" w:hAnsi="Calibri"/>
                <w:color w:val="2B2740"/>
                <w:sz w:val="20"/>
                <w:szCs w:val="20"/>
              </w:rPr>
              <w:t xml:space="preserve">APPROVED SOURCE OF TRUTH — supersedes all prior mission/vision language</w:t>
            </w:r>
          </w:p>
        </w:tc>
      </w:tr>
      <w:tr>
        <w:tc>
          <w:tcPr>
            <w:tcW w:type="dxa" w:w="2340"/>
            <w:tcMar>
              <w:top w:type="dxa" w:w="90"/>
              <w:left w:type="dxa" w:w="120"/>
              <w:bottom w:type="dxa" w:w="90"/>
              <w:right w:type="dxa" w:w="120"/>
            </w:tcMar>
          </w:tcPr>
          <w:p>
            <w:r>
              <w:rPr>
                <w:rFonts w:ascii="Calibri" w:cs="Calibri" w:eastAsia="Calibri" w:hAnsi="Calibri"/>
                <w:b/>
                <w:bCs/>
                <w:color w:val="7C6FF7"/>
                <w:sz w:val="20"/>
                <w:szCs w:val="20"/>
              </w:rPr>
              <w:t xml:space="preserve">Applies to</w:t>
            </w:r>
          </w:p>
        </w:tc>
        <w:tc>
          <w:tcPr>
            <w:tcW w:type="dxa" w:w="7020"/>
            <w:tcMar>
              <w:top w:type="dxa" w:w="90"/>
              <w:left w:type="dxa" w:w="120"/>
              <w:bottom w:type="dxa" w:w="90"/>
              <w:right w:type="dxa" w:w="120"/>
            </w:tcMar>
          </w:tcPr>
          <w:p>
            <w:r>
              <w:rPr>
                <w:rFonts w:ascii="Calibri" w:cs="Calibri" w:eastAsia="Calibri" w:hAnsi="Calibri"/>
                <w:color w:val="2B2740"/>
                <w:sz w:val="20"/>
                <w:szCs w:val="20"/>
              </w:rPr>
              <w:t xml:space="preserve">Website, pitch deck, app onboarding, App Store listings, press, legal filings</w:t>
            </w:r>
          </w:p>
        </w:tc>
      </w:tr>
    </w:tbl>
    <w:p>
      <w:pPr>
        <w:spacing w:after="200"/>
      </w:pPr>
    </w:p>
    <w:p>
      <w:pPr>
        <w:pStyle w:val="Heading1"/>
        <w:pBdr>
          <w:bottom w:val="single" w:color="7C6FF7" w:sz="8" w:space="4"/>
        </w:pBdr>
        <w:spacing w:after="180" w:before="420"/>
      </w:pPr>
      <w:r>
        <w:rPr>
          <w:rFonts w:ascii="Calibri" w:cs="Calibri" w:eastAsia="Calibri" w:hAnsi="Calibri"/>
          <w:b/>
          <w:bCs/>
          <w:color w:val="1A1533"/>
          <w:sz w:val="30"/>
          <w:szCs w:val="30"/>
        </w:rPr>
        <w:t xml:space="preserve">Why This Document Exists</w:t>
      </w:r>
    </w:p>
    <w:p>
      <w:pPr>
        <w:spacing w:after="160" w:line="300"/>
        <w:jc w:val="left"/>
      </w:pPr>
      <w:r>
        <w:rPr>
          <w:rFonts w:ascii="Calibri" w:cs="Calibri" w:eastAsia="Calibri" w:hAnsi="Calibri"/>
          <w:b w:val="false"/>
          <w:bCs w:val="false"/>
          <w:i w:val="false"/>
          <w:iCs w:val="false"/>
          <w:color w:val="2B2740"/>
          <w:sz w:val="22"/>
          <w:szCs w:val="22"/>
        </w:rPr>
        <w:t xml:space="preserve">Vylapp's mission and vision have, until now, lived in fragments — a purpose clause in the Articles of Organization, a strategic framing in the 365% Action Plan, and mission language embedded in the revenue strategy. Each carried a slightly different emphasis. This document reconciles those sources into a single canonical statement. Every public-facing and investor-facing description of Vylapp should draw from the language below, verbatim where possible.</w:t>
      </w:r>
    </w:p>
    <w:p>
      <w:pPr>
        <w:pStyle w:val="Heading1"/>
        <w:pBdr>
          <w:bottom w:val="single" w:color="7C6FF7" w:sz="8" w:space="4"/>
        </w:pBdr>
        <w:spacing w:after="180" w:before="420"/>
      </w:pPr>
      <w:r>
        <w:rPr>
          <w:rFonts w:ascii="Calibri" w:cs="Calibri" w:eastAsia="Calibri" w:hAnsi="Calibri"/>
          <w:b/>
          <w:bCs/>
          <w:color w:val="1A1533"/>
          <w:sz w:val="30"/>
          <w:szCs w:val="30"/>
        </w:rPr>
        <w:t xml:space="preserve">Mission Statement</w:t>
      </w:r>
    </w:p>
    <w:p>
      <w:pPr>
        <w:spacing w:after="160" w:line="300"/>
        <w:jc w:val="left"/>
      </w:pPr>
      <w:r>
        <w:rPr>
          <w:rFonts w:ascii="Calibri" w:cs="Calibri" w:eastAsia="Calibri" w:hAnsi="Calibri"/>
          <w:b w:val="false"/>
          <w:bCs w:val="false"/>
          <w:i/>
          <w:iCs/>
          <w:color w:val="6B6880"/>
          <w:sz w:val="22"/>
          <w:szCs w:val="22"/>
        </w:rPr>
        <w:t xml:space="preserve">What we do, for whom, and why it matters — the work of the next five years.</w:t>
      </w:r>
    </w:p>
    <w:tbl>
      <w:tblPr>
        <w:tblW w:type="dxa" w:w="9360"/>
        <w:tblBorders>
          <w:top w:val="single" w:color="7C6FF7" w:sz="4"/>
          <w:left w:val="single" w:color="7C6FF7" w:sz="24"/>
          <w:bottom w:val="single" w:color="7C6FF7" w:sz="4"/>
          <w:right w:val="single" w:color="7C6FF7" w:sz="4"/>
          <w:insideH w:val="none" w:color="FFFFFF" w:sz="0"/>
          <w:insideV w:val="none" w:color="FFFFFF" w:sz="0"/>
        </w:tblBorders>
      </w:tblPr>
      <w:tblGrid>
        <w:gridCol w:w="9360"/>
      </w:tblGrid>
      <w:tr>
        <w:tc>
          <w:tcPr>
            <w:tcW w:type="dxa" w:w="9360"/>
            <w:shd w:fill="F4F2FD" w:val="clear"/>
            <w:tcMar>
              <w:top w:type="dxa" w:w="200"/>
              <w:left w:type="dxa" w:w="260"/>
              <w:bottom w:type="dxa" w:w="200"/>
              <w:right w:type="dxa" w:w="260"/>
            </w:tcMar>
          </w:tcPr>
          <w:p>
            <w:pPr>
              <w:spacing w:after="0" w:line="320"/>
            </w:pPr>
            <w:r>
              <w:rPr>
                <w:rFonts w:ascii="Calibri" w:cs="Calibri" w:eastAsia="Calibri" w:hAnsi="Calibri"/>
                <w:b/>
                <w:bCs/>
                <w:color w:val="1A1533"/>
                <w:sz w:val="26"/>
                <w:szCs w:val="26"/>
              </w:rPr>
              <w:t xml:space="preserve">Vylapp exists to tear down the language barrier at the heart of the social internet — building one platform where multicultural and multilingual communities create, learn, and belong in their own languages, on their own terms.</w:t>
            </w:r>
          </w:p>
        </w:tc>
      </w:tr>
    </w:tbl>
    <w:p>
      <w:pPr>
        <w:spacing w:after="160"/>
      </w:pPr>
    </w:p>
    <w:p>
      <w:pPr>
        <w:pStyle w:val="Heading2"/>
        <w:spacing w:after="120" w:before="300"/>
      </w:pPr>
      <w:r>
        <w:rPr>
          <w:rFonts w:ascii="Calibri" w:cs="Calibri" w:eastAsia="Calibri" w:hAnsi="Calibri"/>
          <w:b/>
          <w:bCs/>
          <w:color w:val="7C6FF7"/>
          <w:sz w:val="24"/>
          <w:szCs w:val="24"/>
        </w:rPr>
        <w:t xml:space="preserve">Expanded Mission</w:t>
      </w:r>
    </w:p>
    <w:p>
      <w:pPr>
        <w:spacing w:after="160" w:line="300"/>
        <w:jc w:val="left"/>
      </w:pPr>
      <w:r>
        <w:rPr>
          <w:rFonts w:ascii="Calibri" w:cs="Calibri" w:eastAsia="Calibri" w:hAnsi="Calibri"/>
          <w:b w:val="false"/>
          <w:bCs w:val="false"/>
          <w:i w:val="false"/>
          <w:iCs w:val="false"/>
          <w:color w:val="2B2740"/>
          <w:sz w:val="22"/>
          <w:szCs w:val="22"/>
        </w:rPr>
        <w:t xml:space="preserve">The social internet was built English-first. Billions of people — across Africa, across the diaspora, across every multilingual community on Earth — participate in platforms that were never designed for their languages, their cultures, or their ways of gathering. They translate themselves to fit the platform. Vylapp inverts that: the platform translates itself to fit the community.</w:t>
      </w:r>
    </w:p>
    <w:p>
      <w:pPr>
        <w:spacing w:after="160" w:line="300"/>
        <w:jc w:val="left"/>
      </w:pPr>
      <w:r>
        <w:rPr>
          <w:rFonts w:ascii="Calibri" w:cs="Calibri" w:eastAsia="Calibri" w:hAnsi="Calibri"/>
          <w:b w:val="false"/>
          <w:bCs w:val="false"/>
          <w:i w:val="false"/>
          <w:iCs w:val="false"/>
          <w:color w:val="2B2740"/>
          <w:sz w:val="22"/>
          <w:szCs w:val="22"/>
        </w:rPr>
        <w:t xml:space="preserve">We do this by combining, in a single product, what no competitor offers together: a social feed for expression (Vibe), structured learning with community accountability (Learn), and real-time cross-cultural relationships through messaging and live audio Spaces (Connect) — all bound by a native translation engine built into the platform's core rather than bolted on. We call this edutainment infrastructure for global community: entertainment that teaches, learning that entertains, and connection that crosses every border between them.</w:t>
      </w:r>
    </w:p>
    <w:p>
      <w:pPr>
        <w:pStyle w:val="Heading1"/>
        <w:pBdr>
          <w:bottom w:val="single" w:color="7C6FF7" w:sz="8" w:space="4"/>
        </w:pBdr>
        <w:spacing w:after="180" w:before="420"/>
      </w:pPr>
      <w:r>
        <w:rPr>
          <w:rFonts w:ascii="Calibri" w:cs="Calibri" w:eastAsia="Calibri" w:hAnsi="Calibri"/>
          <w:b/>
          <w:bCs/>
          <w:color w:val="1A1533"/>
          <w:sz w:val="30"/>
          <w:szCs w:val="30"/>
        </w:rPr>
        <w:t xml:space="preserve">Vision Statement</w:t>
      </w:r>
    </w:p>
    <w:p>
      <w:pPr>
        <w:spacing w:after="160" w:line="300"/>
        <w:jc w:val="left"/>
      </w:pPr>
      <w:r>
        <w:rPr>
          <w:rFonts w:ascii="Calibri" w:cs="Calibri" w:eastAsia="Calibri" w:hAnsi="Calibri"/>
          <w:b w:val="false"/>
          <w:bCs w:val="false"/>
          <w:i/>
          <w:iCs/>
          <w:color w:val="6B6880"/>
          <w:sz w:val="22"/>
          <w:szCs w:val="22"/>
        </w:rPr>
        <w:t xml:space="preserve">The world we are building toward — the ten-year horizon.</w:t>
      </w:r>
    </w:p>
    <w:tbl>
      <w:tblPr>
        <w:tblW w:type="dxa" w:w="9360"/>
        <w:tblBorders>
          <w:top w:val="single" w:color="1D9E75" w:sz="4"/>
          <w:left w:val="single" w:color="1D9E75" w:sz="24"/>
          <w:bottom w:val="single" w:color="1D9E75" w:sz="4"/>
          <w:right w:val="single" w:color="1D9E75" w:sz="4"/>
          <w:insideH w:val="none" w:color="FFFFFF" w:sz="0"/>
          <w:insideV w:val="none" w:color="FFFFFF" w:sz="0"/>
        </w:tblBorders>
      </w:tblPr>
      <w:tblGrid>
        <w:gridCol w:w="9360"/>
      </w:tblGrid>
      <w:tr>
        <w:tc>
          <w:tcPr>
            <w:tcW w:type="dxa" w:w="9360"/>
            <w:shd w:fill="F4F2FD" w:val="clear"/>
            <w:tcMar>
              <w:top w:type="dxa" w:w="200"/>
              <w:left w:type="dxa" w:w="260"/>
              <w:bottom w:type="dxa" w:w="200"/>
              <w:right w:type="dxa" w:w="260"/>
            </w:tcMar>
          </w:tcPr>
          <w:p>
            <w:pPr>
              <w:spacing w:after="0" w:line="320"/>
            </w:pPr>
            <w:r>
              <w:rPr>
                <w:rFonts w:ascii="Calibri" w:cs="Calibri" w:eastAsia="Calibri" w:hAnsi="Calibri"/>
                <w:b/>
                <w:bCs/>
                <w:color w:val="1A1533"/>
                <w:sz w:val="26"/>
                <w:szCs w:val="26"/>
              </w:rPr>
              <w:t xml:space="preserve">A world where no one is a second-class citizen of the internet because of the language they speak — where an entrepreneur in Lagos, a student in Nairobi, and a creator in the diaspora share one digital home, and culture travels as freely as content.</w:t>
            </w:r>
          </w:p>
        </w:tc>
      </w:tr>
    </w:tbl>
    <w:p>
      <w:pPr>
        <w:spacing w:after="160"/>
      </w:pPr>
    </w:p>
    <w:p>
      <w:pPr>
        <w:pStyle w:val="Heading2"/>
        <w:spacing w:after="120" w:before="300"/>
      </w:pPr>
      <w:r>
        <w:rPr>
          <w:rFonts w:ascii="Calibri" w:cs="Calibri" w:eastAsia="Calibri" w:hAnsi="Calibri"/>
          <w:b/>
          <w:bCs/>
          <w:color w:val="1D9E75"/>
          <w:sz w:val="24"/>
          <w:szCs w:val="24"/>
        </w:rPr>
        <w:t xml:space="preserve">Expanded Vision</w:t>
      </w:r>
    </w:p>
    <w:p>
      <w:pPr>
        <w:spacing w:after="160" w:line="300"/>
        <w:jc w:val="left"/>
      </w:pPr>
      <w:r>
        <w:rPr>
          <w:rFonts w:ascii="Calibri" w:cs="Calibri" w:eastAsia="Calibri" w:hAnsi="Calibri"/>
          <w:b w:val="false"/>
          <w:bCs w:val="false"/>
          <w:i w:val="false"/>
          <w:iCs w:val="false"/>
          <w:color w:val="2B2740"/>
          <w:sz w:val="22"/>
          <w:szCs w:val="22"/>
        </w:rPr>
        <w:t xml:space="preserve">We envision Vylapp as the default gathering place for the world's multicultural communities — the platform where a Yoruba-speaking creator earns a living from a global audience, where a course taught in Swahili certifies students on three continents, where a live Space hosted in Amharic is heard in eight languages in real time, and where organizations build their communities on infrastructure designed for cultural diversity rather than in spite of it.</w:t>
      </w:r>
    </w:p>
    <w:p>
      <w:pPr>
        <w:spacing w:after="160" w:line="300"/>
        <w:jc w:val="left"/>
      </w:pPr>
      <w:r>
        <w:rPr>
          <w:rFonts w:ascii="Calibri" w:cs="Calibri" w:eastAsia="Calibri" w:hAnsi="Calibri"/>
          <w:b w:val="false"/>
          <w:bCs w:val="false"/>
          <w:i w:val="false"/>
          <w:iCs w:val="false"/>
          <w:color w:val="2B2740"/>
          <w:sz w:val="22"/>
          <w:szCs w:val="22"/>
        </w:rPr>
        <w:t xml:space="preserve">By the end of the decade, we intend for 'the translation moat' to be recognized shorthand for what Vylapp proved: that serving multilingual communities natively is not a niche — it is the largest underserved market on the social internet.</w:t>
      </w:r>
    </w:p>
    <w:p>
      <w:pPr>
        <w:pStyle w:val="Heading1"/>
        <w:pBdr>
          <w:bottom w:val="single" w:color="7C6FF7" w:sz="8" w:space="4"/>
        </w:pBdr>
        <w:spacing w:after="180" w:before="420"/>
      </w:pPr>
      <w:r>
        <w:rPr>
          <w:rFonts w:ascii="Calibri" w:cs="Calibri" w:eastAsia="Calibri" w:hAnsi="Calibri"/>
          <w:b/>
          <w:bCs/>
          <w:color w:val="1A1533"/>
          <w:sz w:val="30"/>
          <w:szCs w:val="30"/>
        </w:rPr>
        <w:t xml:space="preserve">The Three Pillars</w:t>
      </w:r>
    </w:p>
    <w:p>
      <w:pPr>
        <w:spacing w:after="160" w:line="300"/>
        <w:jc w:val="left"/>
      </w:pPr>
      <w:r>
        <w:rPr>
          <w:rFonts w:ascii="Calibri" w:cs="Calibri" w:eastAsia="Calibri" w:hAnsi="Calibri"/>
          <w:b w:val="false"/>
          <w:bCs w:val="false"/>
          <w:i w:val="false"/>
          <w:iCs w:val="false"/>
          <w:color w:val="2B2740"/>
          <w:sz w:val="22"/>
          <w:szCs w:val="22"/>
        </w:rPr>
        <w:t xml:space="preserve">The mission is operationalized through three core behaviors. Every feature Vylapp ships must strengthen at least one pillar; anything that strengthens none does not belong on the roadmap.</w:t>
      </w:r>
    </w:p>
    <w:tbl>
      <w:tblPr>
        <w:tblW w:type="dxa" w:w="9360"/>
        <w:tblBorders>
          <w:top w:val="single" w:color="DDD9F0" w:sz="4"/>
          <w:left w:val="single" w:color="DDD9F0" w:sz="4"/>
          <w:bottom w:val="single" w:color="DDD9F0" w:sz="4"/>
          <w:right w:val="single" w:color="DDD9F0" w:sz="4"/>
          <w:insideH w:val="single" w:color="DDD9F0" w:sz="4"/>
          <w:insideV w:val="single" w:color="DDD9F0" w:sz="4"/>
        </w:tblBorders>
      </w:tblPr>
      <w:tblGrid>
        <w:gridCol w:w="1560"/>
        <w:gridCol w:w="3120"/>
        <w:gridCol w:w="4680"/>
      </w:tblGrid>
      <w:tr>
        <w:tc>
          <w:tcPr>
            <w:tcW w:type="dxa" w:w="1560"/>
            <w:shd w:fill="1A1533" w:val="clear"/>
            <w:tcMar>
              <w:top w:type="dxa" w:w="120"/>
              <w:left w:type="dxa" w:w="140"/>
              <w:bottom w:type="dxa" w:w="120"/>
              <w:right w:type="dxa" w:w="140"/>
            </w:tcMar>
          </w:tcPr>
          <w:p>
            <w:r>
              <w:rPr>
                <w:rFonts w:ascii="Calibri" w:cs="Calibri" w:eastAsia="Calibri" w:hAnsi="Calibri"/>
                <w:b/>
                <w:bCs/>
                <w:color w:val="FFFFFF"/>
                <w:sz w:val="20"/>
                <w:szCs w:val="20"/>
              </w:rPr>
              <w:t xml:space="preserve">PILLAR</w:t>
            </w:r>
          </w:p>
        </w:tc>
        <w:tc>
          <w:tcPr>
            <w:tcW w:type="dxa" w:w="3120"/>
            <w:shd w:fill="1A1533" w:val="clear"/>
            <w:tcMar>
              <w:top w:type="dxa" w:w="120"/>
              <w:left w:type="dxa" w:w="140"/>
              <w:bottom w:type="dxa" w:w="120"/>
              <w:right w:type="dxa" w:w="140"/>
            </w:tcMar>
          </w:tcPr>
          <w:p>
            <w:r>
              <w:rPr>
                <w:rFonts w:ascii="Calibri" w:cs="Calibri" w:eastAsia="Calibri" w:hAnsi="Calibri"/>
                <w:b/>
                <w:bCs/>
                <w:color w:val="FFFFFF"/>
                <w:sz w:val="20"/>
                <w:szCs w:val="20"/>
              </w:rPr>
              <w:t xml:space="preserve">WHAT IT MEANS</w:t>
            </w:r>
          </w:p>
        </w:tc>
        <w:tc>
          <w:tcPr>
            <w:tcW w:type="dxa" w:w="4680"/>
            <w:shd w:fill="1A1533" w:val="clear"/>
            <w:tcMar>
              <w:top w:type="dxa" w:w="120"/>
              <w:left w:type="dxa" w:w="140"/>
              <w:bottom w:type="dxa" w:w="120"/>
              <w:right w:type="dxa" w:w="140"/>
            </w:tcMar>
          </w:tcPr>
          <w:p>
            <w:r>
              <w:rPr>
                <w:rFonts w:ascii="Calibri" w:cs="Calibri" w:eastAsia="Calibri" w:hAnsi="Calibri"/>
                <w:b/>
                <w:bCs/>
                <w:color w:val="FFFFFF"/>
                <w:sz w:val="20"/>
                <w:szCs w:val="20"/>
              </w:rPr>
              <w:t xml:space="preserve">WHAT IT LOOKS LIKE IN PRODUCT</w:t>
            </w:r>
          </w:p>
        </w:tc>
      </w:tr>
      <w:tr>
        <w:tc>
          <w:tcPr>
            <w:tcW w:type="dxa" w:w="1560"/>
            <w:shd w:fill="F4F2FD" w:val="clear"/>
            <w:tcMar>
              <w:top w:type="dxa" w:w="120"/>
              <w:left w:type="dxa" w:w="140"/>
              <w:bottom w:type="dxa" w:w="120"/>
              <w:right w:type="dxa" w:w="140"/>
            </w:tcMar>
          </w:tcPr>
          <w:p>
            <w:r>
              <w:rPr>
                <w:rFonts w:ascii="Calibri" w:cs="Calibri" w:eastAsia="Calibri" w:hAnsi="Calibri"/>
                <w:b/>
                <w:bCs/>
                <w:color w:val="7C6FF7"/>
                <w:sz w:val="20"/>
                <w:szCs w:val="20"/>
              </w:rPr>
              <w:t xml:space="preserve">VIBE</w:t>
            </w:r>
          </w:p>
        </w:tc>
        <w:tc>
          <w:tcPr>
            <w:tcW w:type="dxa" w:w="3120"/>
            <w:tcMar>
              <w:top w:type="dxa" w:w="120"/>
              <w:left w:type="dxa" w:w="140"/>
              <w:bottom w:type="dxa" w:w="120"/>
              <w:right w:type="dxa" w:w="140"/>
            </w:tcMar>
          </w:tcPr>
          <w:p>
            <w:r>
              <w:rPr>
                <w:rFonts w:ascii="Calibri" w:cs="Calibri" w:eastAsia="Calibri" w:hAnsi="Calibri"/>
                <w:b w:val="false"/>
                <w:bCs w:val="false"/>
                <w:color w:val="2B2740"/>
                <w:sz w:val="20"/>
                <w:szCs w:val="20"/>
              </w:rPr>
              <w:t xml:space="preserve">Expression without translation tax — create and share in your own voice and language.</w:t>
            </w:r>
          </w:p>
        </w:tc>
        <w:tc>
          <w:tcPr>
            <w:tcW w:type="dxa" w:w="4680"/>
            <w:tcMar>
              <w:top w:type="dxa" w:w="120"/>
              <w:left w:type="dxa" w:w="140"/>
              <w:bottom w:type="dxa" w:w="120"/>
              <w:right w:type="dxa" w:w="140"/>
            </w:tcMar>
          </w:tcPr>
          <w:p>
            <w:r>
              <w:rPr>
                <w:rFonts w:ascii="Calibri" w:cs="Calibri" w:eastAsia="Calibri" w:hAnsi="Calibri"/>
                <w:b w:val="false"/>
                <w:bCs w:val="false"/>
                <w:color w:val="2B2740"/>
                <w:sz w:val="20"/>
                <w:szCs w:val="20"/>
              </w:rPr>
              <w:t xml:space="preserve">Multilingual social feed, media composer, Vibes (posts), real-time engagement, Autopilot AI-assisted posting.</w:t>
            </w:r>
          </w:p>
        </w:tc>
      </w:tr>
      <w:tr>
        <w:tc>
          <w:tcPr>
            <w:tcW w:type="dxa" w:w="1560"/>
            <w:shd w:fill="F4F2FD" w:val="clear"/>
            <w:tcMar>
              <w:top w:type="dxa" w:w="120"/>
              <w:left w:type="dxa" w:w="140"/>
              <w:bottom w:type="dxa" w:w="120"/>
              <w:right w:type="dxa" w:w="140"/>
            </w:tcMar>
          </w:tcPr>
          <w:p>
            <w:r>
              <w:rPr>
                <w:rFonts w:ascii="Calibri" w:cs="Calibri" w:eastAsia="Calibri" w:hAnsi="Calibri"/>
                <w:b/>
                <w:bCs/>
                <w:color w:val="1D9E75"/>
                <w:sz w:val="20"/>
                <w:szCs w:val="20"/>
              </w:rPr>
              <w:t xml:space="preserve">LEARN</w:t>
            </w:r>
          </w:p>
        </w:tc>
        <w:tc>
          <w:tcPr>
            <w:tcW w:type="dxa" w:w="3120"/>
            <w:tcMar>
              <w:top w:type="dxa" w:w="120"/>
              <w:left w:type="dxa" w:w="140"/>
              <w:bottom w:type="dxa" w:w="120"/>
              <w:right w:type="dxa" w:w="140"/>
            </w:tcMar>
          </w:tcPr>
          <w:p>
            <w:r>
              <w:rPr>
                <w:rFonts w:ascii="Calibri" w:cs="Calibri" w:eastAsia="Calibri" w:hAnsi="Calibri"/>
                <w:b w:val="false"/>
                <w:bCs w:val="false"/>
                <w:color w:val="2B2740"/>
                <w:sz w:val="20"/>
                <w:szCs w:val="20"/>
              </w:rPr>
              <w:t xml:space="preserve">Growth through community accountability — knowledge that travels across languages.</w:t>
            </w:r>
          </w:p>
        </w:tc>
        <w:tc>
          <w:tcPr>
            <w:tcW w:type="dxa" w:w="4680"/>
            <w:tcMar>
              <w:top w:type="dxa" w:w="120"/>
              <w:left w:type="dxa" w:w="140"/>
              <w:bottom w:type="dxa" w:w="120"/>
              <w:right w:type="dxa" w:w="140"/>
            </w:tcMar>
          </w:tcPr>
          <w:p>
            <w:r>
              <w:rPr>
                <w:rFonts w:ascii="Calibri" w:cs="Calibri" w:eastAsia="Calibri" w:hAnsi="Calibri"/>
                <w:b w:val="false"/>
                <w:bCs w:val="false"/>
                <w:color w:val="2B2740"/>
                <w:sz w:val="20"/>
                <w:szCs w:val="20"/>
              </w:rPr>
              <w:t xml:space="preserve">Courses, lessons, certificates, community study groups, creator-led teaching monetized through the creator economy.</w:t>
            </w:r>
          </w:p>
        </w:tc>
      </w:tr>
      <w:tr>
        <w:tc>
          <w:tcPr>
            <w:tcW w:type="dxa" w:w="1560"/>
            <w:shd w:fill="F4F2FD" w:val="clear"/>
            <w:tcMar>
              <w:top w:type="dxa" w:w="120"/>
              <w:left w:type="dxa" w:w="140"/>
              <w:bottom w:type="dxa" w:w="120"/>
              <w:right w:type="dxa" w:w="140"/>
            </w:tcMar>
          </w:tcPr>
          <w:p>
            <w:r>
              <w:rPr>
                <w:rFonts w:ascii="Calibri" w:cs="Calibri" w:eastAsia="Calibri" w:hAnsi="Calibri"/>
                <w:b/>
                <w:bCs/>
                <w:color w:val="D85A30"/>
                <w:sz w:val="20"/>
                <w:szCs w:val="20"/>
              </w:rPr>
              <w:t xml:space="preserve">CONNECT</w:t>
            </w:r>
          </w:p>
        </w:tc>
        <w:tc>
          <w:tcPr>
            <w:tcW w:type="dxa" w:w="3120"/>
            <w:tcMar>
              <w:top w:type="dxa" w:w="120"/>
              <w:left w:type="dxa" w:w="140"/>
              <w:bottom w:type="dxa" w:w="120"/>
              <w:right w:type="dxa" w:w="140"/>
            </w:tcMar>
          </w:tcPr>
          <w:p>
            <w:r>
              <w:rPr>
                <w:rFonts w:ascii="Calibri" w:cs="Calibri" w:eastAsia="Calibri" w:hAnsi="Calibri"/>
                <w:b w:val="false"/>
                <w:bCs w:val="false"/>
                <w:color w:val="2B2740"/>
                <w:sz w:val="20"/>
                <w:szCs w:val="20"/>
              </w:rPr>
              <w:t xml:space="preserve">Real relationships across cultures — not engagement metrics, human bonds.</w:t>
            </w:r>
          </w:p>
        </w:tc>
        <w:tc>
          <w:tcPr>
            <w:tcW w:type="dxa" w:w="4680"/>
            <w:tcMar>
              <w:top w:type="dxa" w:w="120"/>
              <w:left w:type="dxa" w:w="140"/>
              <w:bottom w:type="dxa" w:w="120"/>
              <w:right w:type="dxa" w:w="140"/>
            </w:tcMar>
          </w:tcPr>
          <w:p>
            <w:r>
              <w:rPr>
                <w:rFonts w:ascii="Calibri" w:cs="Calibri" w:eastAsia="Calibri" w:hAnsi="Calibri"/>
                <w:b w:val="false"/>
                <w:bCs w:val="false"/>
                <w:color w:val="2B2740"/>
                <w:sz w:val="20"/>
                <w:szCs w:val="20"/>
              </w:rPr>
              <w:t xml:space="preserve">Real-time messaging (Connects), live audio/video Spaces, cross-cultural discovery, native translation across all of it.</w:t>
            </w:r>
          </w:p>
        </w:tc>
      </w:tr>
    </w:tbl>
    <w:p>
      <w:pPr>
        <w:spacing w:after="160"/>
      </w:pPr>
    </w:p>
    <w:p>
      <w:pPr>
        <w:pStyle w:val="Heading1"/>
        <w:pBdr>
          <w:bottom w:val="single" w:color="7C6FF7" w:sz="8" w:space="4"/>
        </w:pBdr>
        <w:spacing w:after="180" w:before="420"/>
      </w:pPr>
      <w:r>
        <w:rPr>
          <w:rFonts w:ascii="Calibri" w:cs="Calibri" w:eastAsia="Calibri" w:hAnsi="Calibri"/>
          <w:b/>
          <w:bCs/>
          <w:color w:val="1A1533"/>
          <w:sz w:val="30"/>
          <w:szCs w:val="30"/>
        </w:rPr>
        <w:t xml:space="preserve">Who We Serve</w:t>
      </w:r>
    </w:p>
    <w:p>
      <w:pPr>
        <w:pStyle w:val="ListParagraph"/>
        <w:numPr>
          <w:ilvl w:val="0"/>
          <w:numId w:val="2"/>
        </w:numPr>
        <w:spacing w:after="100" w:line="290"/>
      </w:pPr>
      <w:r>
        <w:rPr>
          <w:rFonts w:ascii="Calibri" w:cs="Calibri" w:eastAsia="Calibri" w:hAnsi="Calibri"/>
          <w:b/>
          <w:bCs/>
          <w:color w:val="7C6FF7"/>
          <w:sz w:val="22"/>
          <w:szCs w:val="22"/>
        </w:rPr>
        <w:t xml:space="preserve">First  —  </w:t>
      </w:r>
      <w:r>
        <w:rPr>
          <w:rFonts w:ascii="Calibri" w:cs="Calibri" w:eastAsia="Calibri" w:hAnsi="Calibri"/>
          <w:color w:val="2B2740"/>
          <w:sz w:val="22"/>
          <w:szCs w:val="22"/>
        </w:rPr>
        <w:t xml:space="preserve">African communities in-continent — starting with Lagos and Nairobi — creating, learning, and earning in Yoruba, Hausa, Igbo, Amharic, Swahili, and beyond.</w:t>
      </w:r>
    </w:p>
    <w:p>
      <w:pPr>
        <w:pStyle w:val="ListParagraph"/>
        <w:numPr>
          <w:ilvl w:val="0"/>
          <w:numId w:val="2"/>
        </w:numPr>
        <w:spacing w:after="100" w:line="290"/>
      </w:pPr>
      <w:r>
        <w:rPr>
          <w:rFonts w:ascii="Calibri" w:cs="Calibri" w:eastAsia="Calibri" w:hAnsi="Calibri"/>
          <w:b/>
          <w:bCs/>
          <w:color w:val="7C6FF7"/>
          <w:sz w:val="22"/>
          <w:szCs w:val="22"/>
        </w:rPr>
        <w:t xml:space="preserve">Second  —  </w:t>
      </w:r>
      <w:r>
        <w:rPr>
          <w:rFonts w:ascii="Calibri" w:cs="Calibri" w:eastAsia="Calibri" w:hAnsi="Calibri"/>
          <w:color w:val="2B2740"/>
          <w:sz w:val="22"/>
          <w:szCs w:val="22"/>
        </w:rPr>
        <w:t xml:space="preserve">Diaspora populations worldwide who live between languages and want a platform that treats that as an identity, not an inconvenience.</w:t>
      </w:r>
    </w:p>
    <w:p>
      <w:pPr>
        <w:pStyle w:val="ListParagraph"/>
        <w:numPr>
          <w:ilvl w:val="0"/>
          <w:numId w:val="2"/>
        </w:numPr>
        <w:spacing w:after="100" w:line="290"/>
      </w:pPr>
      <w:r>
        <w:rPr>
          <w:rFonts w:ascii="Calibri" w:cs="Calibri" w:eastAsia="Calibri" w:hAnsi="Calibri"/>
          <w:b/>
          <w:bCs/>
          <w:color w:val="7C6FF7"/>
          <w:sz w:val="22"/>
          <w:szCs w:val="22"/>
        </w:rPr>
        <w:t xml:space="preserve">Third  —  </w:t>
      </w:r>
      <w:r>
        <w:rPr>
          <w:rFonts w:ascii="Calibri" w:cs="Calibri" w:eastAsia="Calibri" w:hAnsi="Calibri"/>
          <w:color w:val="2B2740"/>
          <w:sz w:val="22"/>
          <w:szCs w:val="22"/>
        </w:rPr>
        <w:t xml:space="preserve">Every multilingual, multicultural community underserved by English-first platforms — and the creators, educators, and organizations who serve them.</w:t>
      </w:r>
    </w:p>
    <w:p>
      <w:pPr>
        <w:pStyle w:val="Heading1"/>
        <w:pBdr>
          <w:bottom w:val="single" w:color="7C6FF7" w:sz="8" w:space="4"/>
        </w:pBdr>
        <w:spacing w:after="180" w:before="420"/>
      </w:pPr>
      <w:r>
        <w:rPr>
          <w:rFonts w:ascii="Calibri" w:cs="Calibri" w:eastAsia="Calibri" w:hAnsi="Calibri"/>
          <w:b/>
          <w:bCs/>
          <w:color w:val="1A1533"/>
          <w:sz w:val="30"/>
          <w:szCs w:val="30"/>
        </w:rPr>
        <w:t xml:space="preserve">Operating Principles</w:t>
      </w:r>
    </w:p>
    <w:p>
      <w:pPr>
        <w:spacing w:after="160" w:line="300"/>
        <w:jc w:val="left"/>
      </w:pPr>
      <w:r>
        <w:rPr>
          <w:rFonts w:ascii="Calibri" w:cs="Calibri" w:eastAsia="Calibri" w:hAnsi="Calibri"/>
          <w:b w:val="false"/>
          <w:bCs w:val="false"/>
          <w:i w:val="false"/>
          <w:iCs w:val="false"/>
          <w:color w:val="2B2740"/>
          <w:sz w:val="22"/>
          <w:szCs w:val="22"/>
        </w:rPr>
        <w:t xml:space="preserve">These are the commitments that constrain how we pursue the mission. They are not aspirations; they are already encoded in the platform's architecture and the company's monetization plan.</w:t>
      </w:r>
    </w:p>
    <w:p>
      <w:pPr>
        <w:pStyle w:val="ListParagraph"/>
        <w:numPr>
          <w:ilvl w:val="0"/>
          <w:numId w:val="2"/>
        </w:numPr>
        <w:spacing w:after="100" w:line="290"/>
      </w:pPr>
      <w:r>
        <w:rPr>
          <w:rFonts w:ascii="Calibri" w:cs="Calibri" w:eastAsia="Calibri" w:hAnsi="Calibri"/>
          <w:b/>
          <w:bCs/>
          <w:color w:val="7C6FF7"/>
          <w:sz w:val="22"/>
          <w:szCs w:val="22"/>
        </w:rPr>
        <w:t xml:space="preserve">Trust before revenue  —  </w:t>
      </w:r>
      <w:r>
        <w:rPr>
          <w:rFonts w:ascii="Calibri" w:cs="Calibri" w:eastAsia="Calibri" w:hAnsi="Calibri"/>
          <w:color w:val="2B2740"/>
          <w:sz w:val="22"/>
          <w:szCs w:val="22"/>
        </w:rPr>
        <w:t xml:space="preserve">Revenue follows community health — never the other way around. Every revenue stream activates on user-growth milestones, not calendar dates, and only when genuine value is being exchanged. Community trust is the company's most important asset.</w:t>
      </w:r>
    </w:p>
    <w:p>
      <w:pPr>
        <w:pStyle w:val="ListParagraph"/>
        <w:numPr>
          <w:ilvl w:val="0"/>
          <w:numId w:val="2"/>
        </w:numPr>
        <w:spacing w:after="100" w:line="290"/>
      </w:pPr>
      <w:r>
        <w:rPr>
          <w:rFonts w:ascii="Calibri" w:cs="Calibri" w:eastAsia="Calibri" w:hAnsi="Calibri"/>
          <w:b/>
          <w:bCs/>
          <w:color w:val="1D9E75"/>
          <w:sz w:val="22"/>
          <w:szCs w:val="22"/>
        </w:rPr>
        <w:t xml:space="preserve">Language is the front door  —  </w:t>
      </w:r>
      <w:r>
        <w:rPr>
          <w:rFonts w:ascii="Calibri" w:cs="Calibri" w:eastAsia="Calibri" w:hAnsi="Calibri"/>
          <w:color w:val="2B2740"/>
          <w:sz w:val="22"/>
          <w:szCs w:val="22"/>
        </w:rPr>
        <w:t xml:space="preserve">Translation is not a premium add-on to the mission — it is the mission. The engine is built organically, in-house, without third-party API dependencies, because the moat must be owned, not rented.</w:t>
      </w:r>
    </w:p>
    <w:p>
      <w:pPr>
        <w:pStyle w:val="ListParagraph"/>
        <w:numPr>
          <w:ilvl w:val="0"/>
          <w:numId w:val="2"/>
        </w:numPr>
        <w:spacing w:after="100" w:line="290"/>
      </w:pPr>
      <w:r>
        <w:rPr>
          <w:rFonts w:ascii="Calibri" w:cs="Calibri" w:eastAsia="Calibri" w:hAnsi="Calibri"/>
          <w:b/>
          <w:bCs/>
          <w:color w:val="D85A30"/>
          <w:sz w:val="22"/>
          <w:szCs w:val="22"/>
        </w:rPr>
        <w:t xml:space="preserve">Safety by design  —  </w:t>
      </w:r>
      <w:r>
        <w:rPr>
          <w:rFonts w:ascii="Calibri" w:cs="Calibri" w:eastAsia="Calibri" w:hAnsi="Calibri"/>
          <w:color w:val="2B2740"/>
          <w:sz w:val="22"/>
          <w:szCs w:val="22"/>
        </w:rPr>
        <w:t xml:space="preserve">Multilingual moderation, hardened authentication, layered location safeguards, and protection of younger users are engineered into the core — safety claims are stated as continuously tested defenses, never as absolutes.</w:t>
      </w:r>
    </w:p>
    <w:p>
      <w:pPr>
        <w:pStyle w:val="ListParagraph"/>
        <w:numPr>
          <w:ilvl w:val="0"/>
          <w:numId w:val="2"/>
        </w:numPr>
        <w:spacing w:after="100" w:line="290"/>
      </w:pPr>
      <w:r>
        <w:rPr>
          <w:rFonts w:ascii="Calibri" w:cs="Calibri" w:eastAsia="Calibri" w:hAnsi="Calibri"/>
          <w:b/>
          <w:bCs/>
          <w:color w:val="BA7517"/>
          <w:sz w:val="22"/>
          <w:szCs w:val="22"/>
        </w:rPr>
        <w:t xml:space="preserve">Own the stack  —  </w:t>
      </w:r>
      <w:r>
        <w:rPr>
          <w:rFonts w:ascii="Calibri" w:cs="Calibri" w:eastAsia="Calibri" w:hAnsi="Calibri"/>
          <w:color w:val="2B2740"/>
          <w:sz w:val="22"/>
          <w:szCs w:val="22"/>
        </w:rPr>
        <w:t xml:space="preserve">Core engines — translation, moderation, auth, Autopilot — are built without third-party dependencies as a deliberate architectural commitment to sovereignty, resilience, and cost control in the markets we serve.</w:t>
      </w:r>
    </w:p>
    <w:p>
      <w:pPr>
        <w:pStyle w:val="ListParagraph"/>
        <w:numPr>
          <w:ilvl w:val="0"/>
          <w:numId w:val="2"/>
        </w:numPr>
        <w:spacing w:after="100" w:line="290"/>
      </w:pPr>
      <w:r>
        <w:rPr>
          <w:rFonts w:ascii="Calibri" w:cs="Calibri" w:eastAsia="Calibri" w:hAnsi="Calibri"/>
          <w:b/>
          <w:bCs/>
          <w:color w:val="7C6FF7"/>
          <w:sz w:val="22"/>
          <w:szCs w:val="22"/>
        </w:rPr>
        <w:t xml:space="preserve">Create more value than we capture  —  </w:t>
      </w:r>
      <w:r>
        <w:rPr>
          <w:rFonts w:ascii="Calibri" w:cs="Calibri" w:eastAsia="Calibri" w:hAnsi="Calibri"/>
          <w:color w:val="2B2740"/>
          <w:sz w:val="22"/>
          <w:szCs w:val="22"/>
        </w:rPr>
        <w:t xml:space="preserve">Creators keep the overwhelming share of what they earn. The platform wins when its communities win — economically, culturally, and personally.</w:t>
      </w:r>
    </w:p>
    <w:p>
      <w:pPr>
        <w:pStyle w:val="Heading1"/>
        <w:pBdr>
          <w:bottom w:val="single" w:color="7C6FF7" w:sz="8" w:space="4"/>
        </w:pBdr>
        <w:spacing w:after="180" w:before="420"/>
      </w:pPr>
      <w:r>
        <w:rPr>
          <w:rFonts w:ascii="Calibri" w:cs="Calibri" w:eastAsia="Calibri" w:hAnsi="Calibri"/>
          <w:b/>
          <w:bCs/>
          <w:color w:val="1A1533"/>
          <w:sz w:val="30"/>
          <w:szCs w:val="30"/>
        </w:rPr>
        <w:t xml:space="preserve">Brand Promise &amp; Canonical Language</w:t>
      </w:r>
    </w:p>
    <w:p>
      <w:pPr>
        <w:pStyle w:val="Heading2"/>
        <w:spacing w:after="120" w:before="300"/>
      </w:pPr>
      <w:r>
        <w:rPr>
          <w:rFonts w:ascii="Calibri" w:cs="Calibri" w:eastAsia="Calibri" w:hAnsi="Calibri"/>
          <w:b/>
          <w:bCs/>
          <w:color w:val="7C6FF7"/>
          <w:sz w:val="24"/>
          <w:szCs w:val="24"/>
        </w:rPr>
        <w:t xml:space="preserve">Tagline (verbatim, always)</w:t>
      </w:r>
    </w:p>
    <w:tbl>
      <w:tblPr>
        <w:tblW w:type="dxa" w:w="9360"/>
        <w:tblBorders>
          <w:top w:val="single" w:color="7C6FF7" w:sz="4"/>
          <w:left w:val="single" w:color="7C6FF7" w:sz="24"/>
          <w:bottom w:val="single" w:color="7C6FF7" w:sz="4"/>
          <w:right w:val="single" w:color="7C6FF7" w:sz="4"/>
          <w:insideH w:val="none" w:color="FFFFFF" w:sz="0"/>
          <w:insideV w:val="none" w:color="FFFFFF" w:sz="0"/>
        </w:tblBorders>
      </w:tblPr>
      <w:tblGrid>
        <w:gridCol w:w="9360"/>
      </w:tblGrid>
      <w:tr>
        <w:tc>
          <w:tcPr>
            <w:tcW w:type="dxa" w:w="9360"/>
            <w:shd w:fill="F4F2FD" w:val="clear"/>
            <w:tcMar>
              <w:top w:type="dxa" w:w="200"/>
              <w:left w:type="dxa" w:w="260"/>
              <w:bottom w:type="dxa" w:w="200"/>
              <w:right w:type="dxa" w:w="260"/>
            </w:tcMar>
          </w:tcPr>
          <w:p>
            <w:pPr>
              <w:spacing w:after="0"/>
              <w:jc w:val="center"/>
            </w:pPr>
            <w:r>
              <w:rPr>
                <w:rFonts w:ascii="Calibri" w:cs="Calibri" w:eastAsia="Calibri" w:hAnsi="Calibri"/>
                <w:b/>
                <w:bCs/>
                <w:color w:val="7C6FF7"/>
                <w:sz w:val="28"/>
                <w:szCs w:val="28"/>
              </w:rPr>
              <w:t xml:space="preserve">Vibe. Learn. Connect.</w:t>
            </w:r>
          </w:p>
        </w:tc>
      </w:tr>
    </w:tbl>
    <w:p>
      <w:pPr>
        <w:spacing w:after="140"/>
      </w:pPr>
    </w:p>
    <w:p>
      <w:pPr>
        <w:pStyle w:val="Heading2"/>
        <w:spacing w:after="120" w:before="300"/>
      </w:pPr>
      <w:r>
        <w:rPr>
          <w:rFonts w:ascii="Calibri" w:cs="Calibri" w:eastAsia="Calibri" w:hAnsi="Calibri"/>
          <w:b/>
          <w:bCs/>
          <w:color w:val="7C6FF7"/>
          <w:sz w:val="24"/>
          <w:szCs w:val="24"/>
        </w:rPr>
        <w:t xml:space="preserve">One-line description (website, app stores, press boilerplate)</w:t>
      </w:r>
    </w:p>
    <w:p>
      <w:pPr>
        <w:spacing w:after="160" w:line="300"/>
        <w:jc w:val="left"/>
      </w:pPr>
      <w:r>
        <w:rPr>
          <w:rFonts w:ascii="Calibri" w:cs="Calibri" w:eastAsia="Calibri" w:hAnsi="Calibri"/>
          <w:b w:val="false"/>
          <w:bCs w:val="false"/>
          <w:i/>
          <w:iCs/>
          <w:color w:val="2B2740"/>
          <w:sz w:val="22"/>
          <w:szCs w:val="22"/>
        </w:rPr>
        <w:t xml:space="preserve">“Vylapp is the multilingual social platform where multicultural communities vibe, learn, and connect — in their own languages.”</w:t>
      </w:r>
    </w:p>
    <w:p>
      <w:pPr>
        <w:pStyle w:val="Heading2"/>
        <w:spacing w:after="120" w:before="300"/>
      </w:pPr>
      <w:r>
        <w:rPr>
          <w:rFonts w:ascii="Calibri" w:cs="Calibri" w:eastAsia="Calibri" w:hAnsi="Calibri"/>
          <w:b/>
          <w:bCs/>
          <w:color w:val="7C6FF7"/>
          <w:sz w:val="24"/>
          <w:szCs w:val="24"/>
        </w:rPr>
        <w:t xml:space="preserve">Investor one-liner (pitch deck, SAFE conversations)</w:t>
      </w:r>
    </w:p>
    <w:p>
      <w:pPr>
        <w:spacing w:after="160" w:line="300"/>
        <w:jc w:val="left"/>
      </w:pPr>
      <w:r>
        <w:rPr>
          <w:rFonts w:ascii="Calibri" w:cs="Calibri" w:eastAsia="Calibri" w:hAnsi="Calibri"/>
          <w:b w:val="false"/>
          <w:bCs w:val="false"/>
          <w:i/>
          <w:iCs/>
          <w:color w:val="2B2740"/>
          <w:sz w:val="22"/>
          <w:szCs w:val="22"/>
        </w:rPr>
        <w:t xml:space="preserve">“Vylapp combines a social feed, live audio, a creator economy, and native AI translation in one platform for the world's multicultural communities — a white space no current competitor occupies.”</w:t>
      </w:r>
    </w:p>
    <w:p>
      <w:pPr>
        <w:pStyle w:val="Heading2"/>
        <w:spacing w:after="120" w:before="300"/>
      </w:pPr>
      <w:r>
        <w:rPr>
          <w:rFonts w:ascii="Calibri" w:cs="Calibri" w:eastAsia="Calibri" w:hAnsi="Calibri"/>
          <w:b/>
          <w:bCs/>
          <w:color w:val="7C6FF7"/>
          <w:sz w:val="24"/>
          <w:szCs w:val="24"/>
        </w:rPr>
        <w:t xml:space="preserve">Brand promise (to users)</w:t>
      </w:r>
    </w:p>
    <w:p>
      <w:pPr>
        <w:spacing w:after="160" w:line="300"/>
        <w:jc w:val="left"/>
      </w:pPr>
      <w:r>
        <w:rPr>
          <w:rFonts w:ascii="Calibri" w:cs="Calibri" w:eastAsia="Calibri" w:hAnsi="Calibri"/>
          <w:b w:val="false"/>
          <w:bCs w:val="false"/>
          <w:i w:val="false"/>
          <w:iCs w:val="false"/>
          <w:color w:val="2B2740"/>
          <w:sz w:val="22"/>
          <w:szCs w:val="22"/>
        </w:rPr>
        <w:t xml:space="preserve">You will never have to translate yourself to belong here.</w:t>
      </w:r>
    </w:p>
    <w:p>
      <w:pPr>
        <w:pStyle w:val="Heading1"/>
        <w:pBdr>
          <w:bottom w:val="single" w:color="7C6FF7" w:sz="8" w:space="4"/>
        </w:pBdr>
        <w:spacing w:after="180" w:before="420"/>
      </w:pPr>
      <w:r>
        <w:rPr>
          <w:rFonts w:ascii="Calibri" w:cs="Calibri" w:eastAsia="Calibri" w:hAnsi="Calibri"/>
          <w:b/>
          <w:bCs/>
          <w:color w:val="1A1533"/>
          <w:sz w:val="30"/>
          <w:szCs w:val="30"/>
        </w:rPr>
        <w:t xml:space="preserve">Closing Statement</w:t>
      </w:r>
    </w:p>
    <w:p>
      <w:pPr>
        <w:spacing w:after="160" w:line="300"/>
        <w:jc w:val="left"/>
      </w:pPr>
      <w:r>
        <w:rPr>
          <w:rFonts w:ascii="Calibri" w:cs="Calibri" w:eastAsia="Calibri" w:hAnsi="Calibri"/>
          <w:b w:val="false"/>
          <w:bCs w:val="false"/>
          <w:i w:val="false"/>
          <w:iCs w:val="false"/>
          <w:color w:val="2B2740"/>
          <w:sz w:val="22"/>
          <w:szCs w:val="22"/>
        </w:rPr>
        <w:t xml:space="preserve">The platforms that win the next decade won't be the ones that extract the most from their users. They'll be the ones that create the most value for them — and find elegant ways to earn alongside that value creation. Vylapp is built to be that platform, and this document is the standard against which every product, revenue, and community decision must be measured.</w:t>
      </w:r>
    </w:p>
    <w:p>
      <w:pPr>
        <w:spacing w:after="100"/>
      </w:pPr>
    </w:p>
    <w:p>
      <w:pPr>
        <w:jc w:val="center"/>
      </w:pPr>
      <w:r>
        <w:rPr>
          <w:rFonts w:ascii="Calibri" w:cs="Calibri" w:eastAsia="Calibri" w:hAnsi="Calibri"/>
          <w:b/>
          <w:bCs/>
          <w:color w:val="7C6FF7"/>
          <w:sz w:val="24"/>
          <w:szCs w:val="24"/>
        </w:rPr>
        <w:t xml:space="preserve">✦  Vibe. Learn. Connect.  ✦</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880"/>
        <w:sz w:val="16"/>
        <w:szCs w:val="16"/>
      </w:rPr>
      <w:t xml:space="preserve">Vylapp LLC  ·  Indianapolis, Indiana  ·  hello@vylapp.com  ·  www.vylapp.com  ·  Page </w:t>
    </w:r>
    <w:r>
      <w:rPr>
        <w:rFonts w:ascii="Calibri" w:cs="Calibri" w:eastAsia="Calibri" w:hAnsi="Calibri"/>
        <w:color w:val="6B68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9F0" w:sz="4" w:space="3"/>
      </w:pBdr>
      <w:tabs>
        <w:tab w:val="right" w:pos="9360"/>
      </w:tabs>
    </w:pPr>
    <w:r>
      <w:rPr>
        <w:rFonts w:ascii="Calibri" w:cs="Calibri" w:eastAsia="Calibri" w:hAnsi="Calibri"/>
        <w:b/>
        <w:bCs/>
        <w:color w:val="6B6880"/>
        <w:sz w:val="16"/>
        <w:szCs w:val="16"/>
      </w:rPr>
      <w:t xml:space="preserve">VYLAPP LLC  ·  MISSION &amp; VISION</w:t>
    </w:r>
    <w:r>
      <w:rPr>
        <w:rFonts w:ascii="Calibri" w:cs="Calibri" w:eastAsia="Calibri" w:hAnsi="Calibri"/>
        <w:color w:val="6B6880"/>
        <w:sz w:val="16"/>
        <w:szCs w:val="16"/>
      </w:rPr>
      <w:t xml:space="preserve">	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7C6FF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2026-07-26T23:10:24.356Z</dcterms:created>
  <dcterms:modified xsi:type="dcterms:W3CDTF">2026-07-26T23:10:24.394Z</dcterms:modified>
</cp:coreProperties>
</file>

<file path=docProps/custom.xml><?xml version="1.0" encoding="utf-8"?>
<Properties xmlns="http://schemas.openxmlformats.org/officeDocument/2006/custom-properties" xmlns:vt="http://schemas.openxmlformats.org/officeDocument/2006/docPropsVTypes"/>
</file>