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56"/>
        </w:rPr>
        <w:t>DEMO MICROFINANCE BANK</w:t>
      </w:r>
    </w:p>
    <w:p>
      <w:pPr>
        <w:jc w:val="center"/>
      </w:pPr>
      <w:r>
        <w:rPr>
          <w:b/>
          <w:sz w:val="40"/>
          <w:color w:val="1a5276"/>
        </w:rPr>
        <w:t>Staff Handbook 2026</w:t>
      </w:r>
    </w:p>
    <w:p>
      <w:pPr>
        <w:jc w:val="center"/>
      </w:pPr>
      <w:r>
        <w:rPr>
          <w:i/>
          <w:sz w:val="24"/>
          <w:color w:val="666666"/>
        </w:rPr>
        <w:t>Effective Date: January 1, 2026 | Version 3.0 | Confidential</w:t>
      </w:r>
    </w:p>
    <w:p>
      <w:r>
        <w:t xml:space="preserve"> </w:t>
      </w:r>
    </w:p>
    <w:p>
      <w:pPr>
        <w:pBdr>
          <w:bottom w:val="single" w:sz="4" w:space="1" w:color="auto"/>
        </w:pBdr>
      </w:pPr>
      <w:r>
        <w:t xml:space="preserve"> </w:t>
      </w:r>
    </w:p>
    <w:p>
      <w:r>
        <w:t xml:space="preserve"> </w:t>
      </w:r>
    </w:p>
    <w:p>
      <w:r>
        <w:rPr>
          <w:b/>
          <w:sz w:val="28"/>
          <w:color w:val="1a5276"/>
        </w:rPr>
        <w:t>1. Introduction</w:t>
      </w:r>
    </w:p>
    <w:p>
      <w:r>
        <w:t xml:space="preserve"> </w:t>
      </w:r>
    </w:p>
    <w:p>
      <w:r>
        <w:rPr>
          <w:sz w:val="22"/>
        </w:rPr>
        <w:t>Welcome to Demo Microfinance Bank (DMB). This Staff Handbook has been designed to provide you with information about our policies, procedures, and expectations. It is important that you read and understand this handbook, as it will serve as a guide throughout your employment with DMB.</w:t>
      </w:r>
    </w:p>
    <w:p>
      <w:r>
        <w:rPr>
          <w:sz w:val="22"/>
        </w:rPr>
        <w:t>The handbook is subject to review and updates from time to time as management deems necessary.</w:t>
      </w:r>
    </w:p>
    <w:p>
      <w:r>
        <w:t xml:space="preserve"> </w:t>
      </w:r>
    </w:p>
    <w:p>
      <w:r>
        <w:rPr>
          <w:b/>
          <w:sz w:val="28"/>
          <w:color w:val="1a5276"/>
        </w:rPr>
        <w:t>2. Mission and Vision</w:t>
      </w:r>
    </w:p>
    <w:p>
      <w:r>
        <w:t xml:space="preserve"> </w:t>
      </w:r>
    </w:p>
    <w:p>
      <w:r>
        <w:rPr>
          <w:sz w:val="22"/>
        </w:rPr>
        <w:t>Our Mission: To provide accessible, affordable, and innovative financial services to micro, small, and medium enterprises (MSMEs) and underserved communities across Nigeria. Our Vision: To be the leading microfinance bank in Nigeria, empowering individuals and businesses to achieve financial independence and economic growth through sustainable banking solutions.</w:t>
      </w:r>
    </w:p>
    <w:p>
      <w:r>
        <w:t xml:space="preserve"> </w:t>
      </w:r>
    </w:p>
    <w:p>
      <w:r>
        <w:rPr>
          <w:b/>
          <w:sz w:val="28"/>
          <w:color w:val="1a5276"/>
        </w:rPr>
        <w:t>3. Core Values</w:t>
      </w:r>
    </w:p>
    <w:p>
      <w:r>
        <w:t xml:space="preserve"> </w:t>
      </w:r>
    </w:p>
    <w:p>
      <w:r>
        <w:rPr>
          <w:sz w:val="22"/>
        </w:rPr>
        <w:t>Integrity: We conduct our business with honesty and transparency. Customer Focus: Our customers are at the heart of everything we do. Innovation: We continuously seek new and better ways to serve our customers.</w:t>
      </w:r>
    </w:p>
    <w:p>
      <w:r>
        <w:rPr>
          <w:sz w:val="22"/>
        </w:rPr>
        <w:t>Teamwork: We work together to achieve common goals. Excellence: We strive for the highest standards in all we do. Social Responsibility: We are committed to the economic development of our communities.</w:t>
      </w:r>
    </w:p>
    <w:p>
      <w:r>
        <w:t xml:space="preserve"> </w:t>
      </w:r>
    </w:p>
    <w:p>
      <w:r>
        <w:rPr>
          <w:b/>
          <w:sz w:val="28"/>
          <w:color w:val="1a5276"/>
        </w:rPr>
        <w:t>4. Employment Policies</w:t>
      </w:r>
    </w:p>
    <w:p>
      <w:r>
        <w:t xml:space="preserve"> </w:t>
      </w:r>
    </w:p>
    <w:p>
      <w:r>
        <w:rPr>
          <w:sz w:val="22"/>
        </w:rPr>
        <w:t>All employees are required to sign an employment contract upon joining DMB. Employment is subject to satisfactory completion of a 3-month probationary period. Background checks, including criminal record verification and previous employment references, will be conducted for all new hires.</w:t>
      </w:r>
    </w:p>
    <w:p>
      <w:r>
        <w:rPr>
          <w:sz w:val="22"/>
        </w:rPr>
        <w:t>All employees must provide valid identification documents including National ID, BVN, and passport photographs.</w:t>
      </w:r>
    </w:p>
    <w:p>
      <w:r>
        <w:t xml:space="preserve"> </w:t>
      </w:r>
    </w:p>
    <w:p>
      <w:r>
        <w:rPr>
          <w:b/>
          <w:sz w:val="28"/>
          <w:color w:val="1a5276"/>
        </w:rPr>
        <w:t>5. Working Hours and Attendance</w:t>
      </w:r>
    </w:p>
    <w:p>
      <w:r>
        <w:t xml:space="preserve"> </w:t>
      </w:r>
    </w:p>
    <w:p>
      <w:r>
        <w:rPr>
          <w:sz w:val="22"/>
        </w:rPr>
        <w:t>Standard working hours are Monday to Friday, 8:00 AM to 5:00 PM with a one-hour lunch break. Saturday banking hours are 9:00 AM to 1:00 PM on a rotational basis. All employees must sign in and out using the biometric attendance system.</w:t>
      </w:r>
    </w:p>
    <w:p>
      <w:r>
        <w:rPr>
          <w:sz w:val="22"/>
        </w:rPr>
        <w:t>Late arrivals of more than 15 minutes will be documented. Three instances of unexcused lateness in a month will result in a verbal warning.</w:t>
      </w:r>
    </w:p>
    <w:p>
      <w:r>
        <w:t xml:space="preserve"> </w:t>
      </w:r>
    </w:p>
    <w:p>
      <w:r>
        <w:rPr>
          <w:b/>
          <w:sz w:val="28"/>
          <w:color w:val="1a5276"/>
        </w:rPr>
        <w:t>6. Leave Entitlements</w:t>
      </w:r>
    </w:p>
    <w:p>
      <w:r>
        <w:t xml:space="preserve"> </w:t>
      </w:r>
    </w:p>
    <w:p>
      <w:r>
        <w:rPr>
          <w:sz w:val="22"/>
        </w:rPr>
        <w:t>Annual Leave: 21 working days per calendar year, to be taken with prior approval from your supervisor. Sick Leave: 10 working days per year with a valid medical certificate from an approved hospital. Maternity Leave: 12 weeks with full pay for female employees who have completed at least one year of service.</w:t>
      </w:r>
    </w:p>
    <w:p>
      <w:r>
        <w:rPr>
          <w:sz w:val="22"/>
        </w:rPr>
        <w:t>Paternity Leave: 5 working days. Compassionate Leave: 5 working days for bereavement of immediate family members. Examination Leave: Up to 10 working days per year for approved professional examinations.</w:t>
      </w:r>
    </w:p>
    <w:p>
      <w:r>
        <w:t xml:space="preserve"> </w:t>
      </w:r>
    </w:p>
    <w:p>
      <w:r>
        <w:rPr>
          <w:b/>
          <w:sz w:val="28"/>
          <w:color w:val="1a5276"/>
        </w:rPr>
        <w:t>7. Compensation and Benefits</w:t>
      </w:r>
    </w:p>
    <w:p>
      <w:r>
        <w:t xml:space="preserve"> </w:t>
      </w:r>
    </w:p>
    <w:p>
      <w:r>
        <w:rPr>
          <w:sz w:val="22"/>
        </w:rPr>
        <w:t>Salary is paid on the 25th of every month via direct bank transfer. Annual salary reviews are conducted based on performance appraisals and market conditions. Benefits include: Health Insurance (HMO) for employee and up to 4 dependents, Group Life Insurance (3x annual salary), Pension contributions (employer 10%, employee 8%), Staff loan facility at concessionary rates, Training and professional development allowance, Transport allowance, Housing allowance, Meal subsidy.</w:t>
      </w:r>
    </w:p>
    <w:p>
      <w:r>
        <w:t xml:space="preserve"> </w:t>
      </w:r>
    </w:p>
    <w:p>
      <w:r>
        <w:rPr>
          <w:b/>
          <w:sz w:val="28"/>
          <w:color w:val="1a5276"/>
        </w:rPr>
        <w:t>8. Code of Conduct</w:t>
      </w:r>
    </w:p>
    <w:p>
      <w:r>
        <w:t xml:space="preserve"> </w:t>
      </w:r>
    </w:p>
    <w:p>
      <w:r>
        <w:rPr>
          <w:sz w:val="22"/>
        </w:rPr>
        <w:t>All employees are expected to maintain the highest standards of professional conduct at all times. Employees must not engage in any activity that constitutes a conflict of interest with the bank. Acceptance of gifts, gratifications, or inducements from customers or third parties is strictly prohibited.</w:t>
      </w:r>
    </w:p>
    <w:p>
      <w:r>
        <w:rPr>
          <w:sz w:val="22"/>
        </w:rPr>
        <w:t>Employees must maintain confidentiality of all customer and bank information. Use of bank resources for personal purposes is not permitted without authorization. Dress code: Business formal Monday to Thursday, Smart casual on Fridays.</w:t>
      </w:r>
    </w:p>
    <w:p>
      <w:r>
        <w:t xml:space="preserve"> </w:t>
      </w:r>
    </w:p>
    <w:p>
      <w:r>
        <w:rPr>
          <w:b/>
          <w:sz w:val="28"/>
          <w:color w:val="1a5276"/>
        </w:rPr>
        <w:t>9. Anti-Money Laundering (AML) Policy</w:t>
      </w:r>
    </w:p>
    <w:p>
      <w:r>
        <w:t xml:space="preserve"> </w:t>
      </w:r>
    </w:p>
    <w:p>
      <w:r>
        <w:rPr>
          <w:sz w:val="22"/>
        </w:rPr>
        <w:t>All staff must comply with the Central Bank of Nigeria (CBN) Anti-Money Laundering and Combating the Financing of Terrorism (AML/CFT) regulations. Know Your Customer (KYC) procedures must be strictly followed for all account openings and transactions. Currency Transaction Reports (CTR) must be filed for all cash transactions of N5,000,000 and above.</w:t>
      </w:r>
    </w:p>
    <w:p>
      <w:r>
        <w:rPr>
          <w:sz w:val="22"/>
        </w:rPr>
        <w:t>Suspicious Transaction Reports (STR) must be filed for any transaction that appears unusual or suspicious regardless of the amount. Failure to report suspicious transactions is a criminal offence under the Money Laundering (Prohibition) Act 2011.</w:t>
      </w:r>
    </w:p>
    <w:p>
      <w:r>
        <w:t xml:space="preserve"> </w:t>
      </w:r>
    </w:p>
    <w:p>
      <w:r>
        <w:rPr>
          <w:b/>
          <w:sz w:val="28"/>
          <w:color w:val="1a5276"/>
        </w:rPr>
        <w:t>10. Data Protection and Privacy</w:t>
      </w:r>
    </w:p>
    <w:p>
      <w:r>
        <w:t xml:space="preserve"> </w:t>
      </w:r>
    </w:p>
    <w:p>
      <w:r>
        <w:rPr>
          <w:sz w:val="22"/>
        </w:rPr>
        <w:t>DMB is committed to protecting the personal data of its customers and employees in compliance with the Nigeria Data Protection Regulation (NDPR) and the Nigeria Data Protection Act 2023. All customer data must be handled with the utmost confidentiality. Access to customer information is restricted to authorized personnel only.</w:t>
      </w:r>
    </w:p>
    <w:p>
      <w:r>
        <w:rPr>
          <w:sz w:val="22"/>
        </w:rPr>
        <w:t>Data breaches must be reported to the Data Protection Officer within 24 hours of discovery. Employees must not store customer data on personal devices or share it through unauthorized channels.</w:t>
      </w:r>
    </w:p>
    <w:p>
      <w:r>
        <w:t xml:space="preserve"> </w:t>
      </w:r>
    </w:p>
    <w:p>
      <w:r>
        <w:rPr>
          <w:b/>
          <w:sz w:val="28"/>
          <w:color w:val="1a5276"/>
        </w:rPr>
        <w:t>11. Information Technology Policy</w:t>
      </w:r>
    </w:p>
    <w:p>
      <w:r>
        <w:t xml:space="preserve"> </w:t>
      </w:r>
    </w:p>
    <w:p>
      <w:r>
        <w:rPr>
          <w:sz w:val="22"/>
        </w:rPr>
        <w:t>All IT equipment provided by the bank remains the property of DMB. Employees must use strong passwords and change them every 90 days. Sharing of login credentials is strictly prohibited.</w:t>
      </w:r>
    </w:p>
    <w:p>
      <w:r>
        <w:rPr>
          <w:sz w:val="22"/>
        </w:rPr>
        <w:t>Personal software installation on bank computers requires IT department approval. The bank reserves the right to monitor all electronic communications on its network. USB drives and external storage devices must be scanned for viruses before use.</w:t>
      </w:r>
    </w:p>
    <w:p>
      <w:r>
        <w:rPr>
          <w:sz w:val="22"/>
        </w:rPr>
        <w:t>Remote access to bank systems requires VPN and multi-factor authentication.</w:t>
      </w:r>
    </w:p>
    <w:p>
      <w:r>
        <w:t xml:space="preserve"> </w:t>
      </w:r>
    </w:p>
    <w:p>
      <w:r>
        <w:rPr>
          <w:b/>
          <w:sz w:val="28"/>
          <w:color w:val="1a5276"/>
        </w:rPr>
        <w:t>12. Disciplinary Procedures</w:t>
      </w:r>
    </w:p>
    <w:p>
      <w:r>
        <w:t xml:space="preserve"> </w:t>
      </w:r>
    </w:p>
    <w:p>
      <w:r>
        <w:rPr>
          <w:sz w:val="22"/>
        </w:rPr>
        <w:t>The following disciplinary measures apply: Verbal Warning for minor first offences. Written Warning for repeated minor offences or moderate misconduct. Final Written Warning for serious misconduct.</w:t>
      </w:r>
    </w:p>
    <w:p>
      <w:r>
        <w:rPr>
          <w:sz w:val="22"/>
        </w:rPr>
        <w:t>Suspension without pay pending investigation for gross misconduct. Termination of employment for proven gross misconduct. Examples of gross misconduct include: fraud, theft, falsification of records, unauthorized disclosure of confidential information, workplace violence, sexual harassment, and substance abuse during working hours.</w:t>
      </w:r>
    </w:p>
    <w:p>
      <w:r>
        <w:t xml:space="preserve"> </w:t>
      </w:r>
    </w:p>
    <w:p>
      <w:r>
        <w:rPr>
          <w:b/>
          <w:sz w:val="28"/>
          <w:color w:val="1a5276"/>
        </w:rPr>
        <w:t>13. Grievance Procedure</w:t>
      </w:r>
    </w:p>
    <w:p>
      <w:r>
        <w:t xml:space="preserve"> </w:t>
      </w:r>
    </w:p>
    <w:p>
      <w:r>
        <w:rPr>
          <w:sz w:val="22"/>
        </w:rPr>
        <w:t>Employees who wish to raise a grievance should first discuss the matter with their immediate supervisor. If the matter is not resolved, it should be escalated to the HR department in writing. The HR department will investigate and respond within 10 working days.</w:t>
      </w:r>
    </w:p>
    <w:p>
      <w:r>
        <w:rPr>
          <w:sz w:val="22"/>
        </w:rPr>
        <w:t>If still unresolved, the matter may be referred to the Managing Director. The bank is committed to ensuring that all grievances are handled fairly, consistently, and without victimization.</w:t>
      </w:r>
    </w:p>
    <w:p>
      <w:r>
        <w:t xml:space="preserve"> </w:t>
      </w:r>
    </w:p>
    <w:p>
      <w:r>
        <w:rPr>
          <w:b/>
          <w:sz w:val="28"/>
          <w:color w:val="1a5276"/>
        </w:rPr>
        <w:t>14. Health and Safety</w:t>
      </w:r>
    </w:p>
    <w:p>
      <w:r>
        <w:t xml:space="preserve"> </w:t>
      </w:r>
    </w:p>
    <w:p>
      <w:r>
        <w:rPr>
          <w:sz w:val="22"/>
        </w:rPr>
        <w:t>DMB is committed to providing a safe and healthy working environment for all employees. Fire drills are conducted quarterly and all employees must participate. First aid kits are available in all branches and the head office.</w:t>
      </w:r>
    </w:p>
    <w:p>
      <w:r>
        <w:rPr>
          <w:sz w:val="22"/>
        </w:rPr>
        <w:t>Employees must report any workplace accidents or hazards immediately. The bank provides annual medical check-ups for all employees. Emergency evacuation procedures are posted in all offices.</w:t>
      </w:r>
    </w:p>
    <w:p>
      <w:r>
        <w:t xml:space="preserve"> </w:t>
      </w:r>
    </w:p>
    <w:p>
      <w:r>
        <w:rPr>
          <w:b/>
          <w:sz w:val="28"/>
          <w:color w:val="1a5276"/>
        </w:rPr>
        <w:t>15. Acknowledgment</w:t>
      </w:r>
    </w:p>
    <w:p>
      <w:r>
        <w:t xml:space="preserve"> </w:t>
      </w:r>
    </w:p>
    <w:p>
      <w:r>
        <w:rPr>
          <w:sz w:val="22"/>
        </w:rPr>
        <w:t>By signing below, I acknowledge that I have received, read, and understood the contents of this Staff Handbook. I agree to abide by the policies and procedures outlined herein. I understand that this handbook does not constitute a contract of employment and that DMB reserves the right to modify these policies at any time.</w:t>
      </w:r>
    </w:p>
  </w:body>
</w:document>
</file>

<file path=word/_rels/document.xml.rels><?xml version="1.0" encoding="UTF-8" standalone="yes"?>
<Relationships xmlns="http://schemas.openxmlformats.org/package/2006/relationships"></Relationships>
</file>