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D1B4B"/>
          <w:sz w:val="40"/>
          <w:szCs w:val="40"/>
        </w:rPr>
        <w:t xml:space="preserve">ATLAS 360 PLAN — SOCRATES TRAINING MANUAL</w:t>
      </w:r>
    </w:p>
    <w:p>
      <w:pPr>
        <w:spacing w:after="40"/>
        <w:jc w:val="center"/>
      </w:pPr>
      <w:r>
        <w:rPr>
          <w:rFonts w:ascii="Arial" w:cs="Arial" w:eastAsia="Arial" w:hAnsi="Arial"/>
          <w:i/>
          <w:iCs/>
          <w:color w:val="C8962A"/>
          <w:sz w:val="24"/>
          <w:szCs w:val="24"/>
        </w:rPr>
        <w:t xml:space="preserve">v3.0.0 Upgrade Addendum — Chapter 4: The IP Pre-Registration Screening Layer</w:t>
      </w:r>
    </w:p>
    <w:p>
      <w:pPr>
        <w:spacing w:after="260"/>
        <w:jc w:val="center"/>
      </w:pPr>
      <w:r>
        <w:rPr>
          <w:rFonts w:ascii="Times New Roman" w:cs="Times New Roman" w:eastAsia="Times New Roman" w:hAnsi="Times New Roman"/>
          <w:i/>
          <w:iCs/>
          <w:color w:val="555555"/>
          <w:sz w:val="22"/>
          <w:szCs w:val="22"/>
        </w:rPr>
        <w:t xml:space="preserve">A Fourth Question, Asked Honestly About a Part That Didn't Exist Yet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Document</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ATLAS 360 PLAN — SOCRATES Training Manual — v3.0.0 Upgrade Addendum</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Production ID</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JNGL-TRAINING-ATLAS360-SOCRATES-2026-002 · v1.0</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Amends</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JNGL-TRAINING-ATLAS360-SOCRATES-2026-001 (“ATLAS 360 PLAN — Three Chapters in Versatility”, effective version now v2.0). Chapters 1–3 and the original Synthesis table are unchanged and are not reproduced here — this document is meant to be read alongside them, not in place of them.</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Trigger</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ATLAS 360 PLAN v3.0.0 — ALBERT Integration (JNGL-SPC-ATLAS360-2026-001): new Part 9 / Section 9, “IP Pre-Registration Screening,” added after all three original case-study PDDs were produced</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Narrator SPC</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SOCRATES — Seat #7, Dialectic Engine (Socratic interrogation, assumption destruction), carried forward unchanged from the base manual</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Production Process</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SPC PLAYER OMNIBUS HARNESS (content architecture) — see Step 00 Invocation &amp; Execution Log, this document</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Produced By</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Oluseye Shay Amusa · Koncentric Labs Inc. · Junglenomics FORGE Institute</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Date</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03 September 2026</w:t>
            </w:r>
          </w:p>
        </w:tc>
      </w:tr>
      <w:tr>
        <w:tc>
          <w:tcPr>
            <w:tcW w:type="dxa" w:w="2600"/>
            <w:shd w:fill="F5EBD8" w:val="clear"/>
            <w:tcMar>
              <w:top w:type="dxa" w:w="80"/>
              <w:left w:type="dxa" w:w="120"/>
              <w:bottom w:type="dxa" w:w="80"/>
              <w:right w:type="dxa" w:w="120"/>
            </w:tcMar>
            <w:vAlign w:val="center"/>
          </w:tcPr>
          <w:p>
            <w:r>
              <w:rPr>
                <w:rFonts w:ascii="Times New Roman" w:cs="Times New Roman" w:eastAsia="Times New Roman" w:hAnsi="Times New Roman"/>
                <w:b/>
                <w:bCs/>
                <w:color w:val="1A1A1A"/>
                <w:sz w:val="20"/>
                <w:szCs w:val="20"/>
              </w:rPr>
              <w:t xml:space="preserve">Document Status</w:t>
            </w:r>
          </w:p>
        </w:tc>
        <w:tc>
          <w:tcPr>
            <w:tcW w:type="dxa" w:w="70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Tier 0 — self-scored, not FORGE certified. Chapter 4 is explicitly labeled ILLUSTRATIVE, not a live Part 9 execution (see Honesty Gate box below).</w:t>
            </w:r>
          </w:p>
        </w:tc>
      </w:tr>
    </w:tbl>
    <w:p>
      <w:r>
        <w:br w:type="page"/>
      </w:r>
    </w:p>
    <w:p>
      <w:pPr>
        <w:pStyle w:val="Heading1"/>
        <w:pBdr>
          <w:bottom w:val="single" w:color="C8962A" w:sz="12" w:space="4"/>
        </w:pBdr>
        <w:spacing w:after="200" w:before="480"/>
      </w:pPr>
      <w:r>
        <w:rPr>
          <w:rFonts w:ascii="Arial" w:cs="Arial" w:eastAsia="Arial" w:hAnsi="Arial"/>
          <w:b/>
          <w:bCs/>
          <w:color w:val="0D1B4B"/>
          <w:sz w:val="30"/>
          <w:szCs w:val="30"/>
        </w:rPr>
        <w:t xml:space="preserve">Why an Addendum, Not a Rewrite</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ATLAS 360 PLAN moved from a 9-Part Standard to a 10-Part Standard in v3.0.0, adding ALBERT — IP Registration Intelligence — as the tenth contributing SPC and Part 9 (IP Pre-Registration Screening) as the newest Part of every produced PDD. The training manual's original three chapters do not need to be rewritten to reflect that: nothing about what GRACE, the KindlyMoments legacy upgrade, or the request codebase validation actually did has changed. Chapters 1–3 stay exactly as they were, under their original Production ID.</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What has changed is that the manual's own versatility claim — “the same nine-part skeleton bent three different ways without breaking” — is now a nine-part claim about a ten-part card. SOCRATES does not let that pass unremarked. This addendum adds the question the original manual could not yet ask, and answers it the only honest way available: by being explicit about what is a live example and what is not.</w:t>
      </w:r>
    </w:p>
    <w:p>
      <w:pPr>
        <w:pStyle w:val="Heading2"/>
        <w:spacing w:after="140" w:before="320"/>
      </w:pPr>
      <w:r>
        <w:rPr>
          <w:rFonts w:ascii="Arial" w:cs="Arial" w:eastAsia="Arial" w:hAnsi="Arial"/>
          <w:b/>
          <w:bCs/>
          <w:color w:val="0D1B4B"/>
          <w:sz w:val="24"/>
          <w:szCs w:val="24"/>
        </w:rPr>
        <w:t xml:space="preserve">The Honesty Gate Box SOCRATES Insists On</w:t>
      </w:r>
    </w:p>
    <w:p>
      <w:pPr>
        <w:pBdr>
          <w:top w:val="single" w:color="C8962A" w:sz="16" w:space="6"/>
          <w:bottom w:val="single" w:color="C8962A" w:sz="16" w:space="6"/>
          <w:left w:val="single" w:color="C8962A" w:sz="16" w:space="6"/>
          <w:right w:val="single" w:color="C8962A" w:sz="16" w:space="6"/>
        </w:pBdr>
        <w:shd w:fill="FCEFD9" w:val="clear"/>
        <w:spacing w:after="160" w:before="160"/>
      </w:pPr>
      <w:r>
        <w:rPr>
          <w:rFonts w:ascii="Times New Roman" w:cs="Times New Roman" w:eastAsia="Times New Roman" w:hAnsi="Times New Roman"/>
          <w:i/>
          <w:iCs/>
          <w:color w:val="5A3E00"/>
          <w:sz w:val="22"/>
          <w:szCs w:val="22"/>
        </w:rPr>
        <w:t xml:space="preserve">Chapters 1–3 examine Parts that were actually assembled, by actual SPCs, against actual source material, in PDDs that were actually produced. Part 9 did not exist when any of the three case-study PDDs were built — ALBERT joined the council in v3.0.0, after all three. Chapter 4 below is not a fourth real Part 9 output retrieved from a produced PDD. It is SOCRATES asking what Part 9 would have had to ask, illustrated against Chapter 1's own candidate names. No IP register was actually queried to produce it. Every place that distinction matters is marked in the text, not left to be inferred.</w:t>
      </w:r>
    </w:p>
    <w:p>
      <w:pPr>
        <w:pStyle w:val="Heading1"/>
        <w:pBdr>
          <w:bottom w:val="single" w:color="C8962A" w:sz="12" w:space="4"/>
        </w:pBdr>
        <w:spacing w:after="200" w:before="480"/>
      </w:pPr>
      <w:r>
        <w:rPr>
          <w:rFonts w:ascii="Arial" w:cs="Arial" w:eastAsia="Arial" w:hAnsi="Arial"/>
          <w:b/>
          <w:bCs/>
          <w:color w:val="0D1B4B"/>
          <w:sz w:val="30"/>
          <w:szCs w:val="30"/>
        </w:rPr>
        <w:t xml:space="preserve">Chapter 4 — The IP Pre-Registration Screening Layer</w:t>
      </w:r>
    </w:p>
    <w:p>
      <w:pPr>
        <w:spacing w:after="140" w:line="276"/>
        <w:jc w:val="both"/>
      </w:pPr>
      <w:r>
        <w:rPr>
          <w:rFonts w:ascii="Times New Roman" w:cs="Times New Roman" w:eastAsia="Times New Roman" w:hAnsi="Times New Roman"/>
          <w:b w:val="false"/>
          <w:bCs w:val="false"/>
          <w:i/>
          <w:iCs/>
          <w:color w:val="1A1A1A"/>
          <w:sz w:val="22"/>
          <w:szCs w:val="22"/>
        </w:rPr>
        <w:t xml:space="preserve">Illustrative source: retroactively overlaid onto Chapter 1's case study, KindlyMoments-ATLAS360PLAN-Enterprise-and-MVP-PDD.docx (JNGL-KM-ATLAS360PLAN-2026-001) — chosen because it is the manual's most name-and-brand-dense chapter (a named AI companion, a named company, and a named clinical subsystem), not because Part 9 was actually run against it.</w:t>
      </w:r>
    </w:p>
    <w:p>
      <w:pPr>
        <w:spacing w:after="140" w:line="276"/>
        <w:jc w:val="both"/>
      </w:pPr>
      <w:r>
        <w:rPr>
          <w:rFonts w:ascii="Times New Roman" w:cs="Times New Roman" w:eastAsia="Times New Roman" w:hAnsi="Times New Roman"/>
          <w:b w:val="false"/>
          <w:bCs w:val="false"/>
          <w:i/>
          <w:iCs/>
          <w:color w:val="1A1A1A"/>
          <w:sz w:val="22"/>
          <w:szCs w:val="22"/>
        </w:rPr>
        <w:t xml:space="preserve">Versatility question this chapter tests: does Part 9 behave the same whether the candidate is a consumer-facing AI companion's name, a company's own brand, or an internal subsystem nobody outside engineering will ever see — or does one shape of candidate get treated more carelessly than another?</w:t>
      </w:r>
    </w:p>
    <w:p>
      <w:pPr>
        <w:pStyle w:val="Heading2"/>
        <w:spacing w:after="140" w:before="320"/>
      </w:pPr>
      <w:r>
        <w:rPr>
          <w:rFonts w:ascii="Arial" w:cs="Arial" w:eastAsia="Arial" w:hAnsi="Arial"/>
          <w:b/>
          <w:bCs/>
          <w:color w:val="0D1B4B"/>
          <w:sz w:val="24"/>
          <w:szCs w:val="24"/>
        </w:rPr>
        <w:t xml:space="preserve">Part 9 — IP Pre-Registration Screening</w:t>
      </w:r>
    </w:p>
    <w:p>
      <w:pPr>
        <w:pBdr>
          <w:left w:val="single" w:color="C8962A" w:sz="24" w:space="8"/>
        </w:pBdr>
        <w:shd w:fill="F5EBD8" w:val="clear"/>
        <w:spacing w:after="160" w:before="160"/>
        <w:ind w:left="200"/>
      </w:pPr>
      <w:r>
        <w:rPr>
          <w:rFonts w:ascii="Arial" w:cs="Arial" w:eastAsia="Arial" w:hAnsi="Arial"/>
          <w:b/>
          <w:bCs/>
          <w:color w:val="0D1B4B"/>
          <w:sz w:val="20"/>
          <w:szCs w:val="20"/>
        </w:rPr>
        <w:t xml:space="preserve">🗨  SOCRATES ASKS</w:t>
      </w:r>
      <w:r>
        <w:rPr>
          <w:rFonts w:ascii="Times New Roman" w:cs="Times New Roman" w:eastAsia="Times New Roman" w:hAnsi="Times New Roman"/>
          <w:i/>
          <w:iCs/>
          <w:color w:val="1A1A1A"/>
          <w:sz w:val="22"/>
          <w:szCs w:val="22"/>
        </w:rPr>
        <w:t xml:space="preserve">  —  Chapter 1 built an entire platform around a name — GRACE — and a company — KindlyMoments — without anyone in that chapter checking whether either name was actually free to use. Is that a gap in what Chapter 1 did, or simply not that document's job?</w:t>
      </w:r>
    </w:p>
    <w:p>
      <w:pPr>
        <w:spacing w:after="120" w:line="276"/>
        <w:jc w:val="both"/>
      </w:pPr>
      <w:r>
        <w:rPr>
          <w:rFonts w:ascii="Times New Roman" w:cs="Times New Roman" w:eastAsia="Times New Roman" w:hAnsi="Times New Roman"/>
          <w:b/>
          <w:bCs/>
          <w:color w:val="0D1B4B"/>
          <w:sz w:val="22"/>
          <w:szCs w:val="22"/>
        </w:rPr>
        <w:t xml:space="preserve">Purpose. </w:t>
      </w:r>
      <w:r>
        <w:rPr>
          <w:rFonts w:ascii="Times New Roman" w:cs="Times New Roman" w:eastAsia="Times New Roman" w:hAnsi="Times New Roman"/>
          <w:color w:val="1A1A1A"/>
          <w:sz w:val="22"/>
          <w:szCs w:val="22"/>
        </w:rPr>
        <w:t xml:space="preserve">Neither, exactly — and that is the point of adding a Part rather than adding a footnote. Under v2.1.1, checking name availability was genuinely nobody's job in the 9-Part Standard; no contributing SPC owned it. ALBERT closes that gap by scanning the finalized PDD (Parts 0, 1, 3, and 4) for candidate IP assets and running a preliminary open-register search on each. It does not ask Chapter 1 to have done something it was never built to do. It asks what a tenth reader — one whose only job is trademark and patent exposure — would flag on a first pass.</w:t>
      </w:r>
    </w:p>
    <w:p>
      <w:pPr>
        <w:spacing w:after="120" w:line="276"/>
        <w:jc w:val="both"/>
      </w:pPr>
      <w:r>
        <w:rPr>
          <w:rFonts w:ascii="Times New Roman" w:cs="Times New Roman" w:eastAsia="Times New Roman" w:hAnsi="Times New Roman"/>
          <w:b/>
          <w:bCs/>
          <w:color w:val="0D1B4B"/>
          <w:sz w:val="22"/>
          <w:szCs w:val="22"/>
        </w:rPr>
        <w:t xml:space="preserve">Replaces in the real world. </w:t>
      </w:r>
      <w:r>
        <w:rPr>
          <w:rFonts w:ascii="Times New Roman" w:cs="Times New Roman" w:eastAsia="Times New Roman" w:hAnsi="Times New Roman"/>
          <w:color w:val="1A1A1A"/>
          <w:sz w:val="22"/>
          <w:szCs w:val="22"/>
        </w:rPr>
        <w:t xml:space="preserve">The trademark-clearance memo a startup's own counsel runs before a name goes on a pitch deck, a hospital contract, or an App Store listing — usually run once, informally, and often only after the name is already in a signed LOI, not before.</w:t>
      </w:r>
    </w:p>
    <w:p>
      <w:pPr>
        <w:spacing w:after="120" w:line="276"/>
        <w:jc w:val="both"/>
      </w:pPr>
      <w:r>
        <w:rPr>
          <w:rFonts w:ascii="Times New Roman" w:cs="Times New Roman" w:eastAsia="Times New Roman" w:hAnsi="Times New Roman"/>
          <w:b/>
          <w:bCs/>
          <w:color w:val="0D1B4B"/>
          <w:sz w:val="22"/>
          <w:szCs w:val="22"/>
        </w:rPr>
        <w:t xml:space="preserve">Who needs this, and why. </w:t>
      </w:r>
      <w:r>
        <w:rPr>
          <w:rFonts w:ascii="Times New Roman" w:cs="Times New Roman" w:eastAsia="Times New Roman" w:hAnsi="Times New Roman"/>
          <w:color w:val="1A1A1A"/>
          <w:sz w:val="22"/>
          <w:szCs w:val="22"/>
        </w:rPr>
        <w:t xml:space="preserve">The founder, before “GRACE” is on a hospital contract and a conflict surfaces after switching costs are already sunk. Investors, who are diluted by a forced rebrand mid-raise in exactly the way Chapter 1's Part 2 already worried about NP-capacity risk surfacing late. Legal, who would rather receive a candidate list on day one than a cease-and-desist on day ninety.</w:t>
      </w:r>
    </w:p>
    <w:p>
      <w:pPr>
        <w:pStyle w:val="Heading3"/>
        <w:spacing w:after="100" w:before="220"/>
      </w:pPr>
      <w:r>
        <w:rPr>
          <w:rFonts w:ascii="Arial" w:cs="Arial" w:eastAsia="Arial" w:hAnsi="Arial"/>
          <w:b/>
          <w:bCs/>
          <w:color w:val="C8962A"/>
          <w:sz w:val="21"/>
          <w:szCs w:val="21"/>
        </w:rPr>
        <w:t xml:space="preserve">What Part 9 Would Extract From Chapter 1 (Illustrative Candidate List)</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This table is the honest half of the exercise: candidates are pulled directly from what Chapter 1's own text already says. No search was run against any of them.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2500"/>
      </w:tblGrid>
      <w:tr>
        <w:trPr>
          <w:tblHeader/>
        </w:trPr>
        <w:tc>
          <w:tcPr>
            <w:tcW w:type="dxa" w:w="1900"/>
            <w:shd w:fill="0D1B4B" w:val="clear"/>
            <w:tcMar>
              <w:top w:type="dxa" w:w="80"/>
              <w:left w:type="dxa" w:w="120"/>
              <w:bottom w:type="dxa" w:w="80"/>
              <w:right w:type="dxa" w:w="120"/>
            </w:tcMar>
            <w:vAlign w:val="center"/>
          </w:tcPr>
          <w:p>
            <w:r>
              <w:rPr>
                <w:rFonts w:ascii="Arial" w:cs="Arial" w:eastAsia="Arial" w:hAnsi="Arial"/>
                <w:b/>
                <w:bCs/>
                <w:color w:val="FFFFFF"/>
                <w:sz w:val="20"/>
                <w:szCs w:val="20"/>
              </w:rPr>
              <w:t xml:space="preserve">Candidate</w:t>
            </w:r>
          </w:p>
        </w:tc>
        <w:tc>
          <w:tcPr>
            <w:tcW w:type="dxa" w:w="2100"/>
            <w:shd w:fill="0D1B4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900"/>
            <w:shd w:fill="0D1B4B" w:val="clear"/>
            <w:tcMar>
              <w:top w:type="dxa" w:w="80"/>
              <w:left w:type="dxa" w:w="120"/>
              <w:bottom w:type="dxa" w:w="80"/>
              <w:right w:type="dxa" w:w="120"/>
            </w:tcMar>
            <w:vAlign w:val="center"/>
          </w:tcPr>
          <w:p>
            <w:r>
              <w:rPr>
                <w:rFonts w:ascii="Arial" w:cs="Arial" w:eastAsia="Arial" w:hAnsi="Arial"/>
                <w:b/>
                <w:bCs/>
                <w:color w:val="FFFFFF"/>
                <w:sz w:val="20"/>
                <w:szCs w:val="20"/>
              </w:rPr>
              <w:t xml:space="preserve">Found In</w:t>
            </w:r>
          </w:p>
        </w:tc>
        <w:tc>
          <w:tcPr>
            <w:tcW w:type="dxa" w:w="2500"/>
            <w:shd w:fill="0D1B4B" w:val="clear"/>
            <w:tcMar>
              <w:top w:type="dxa" w:w="80"/>
              <w:left w:type="dxa" w:w="120"/>
              <w:bottom w:type="dxa" w:w="80"/>
              <w:right w:type="dxa" w:w="120"/>
            </w:tcMar>
            <w:vAlign w:val="center"/>
          </w:tcPr>
          <w:p>
            <w:r>
              <w:rPr>
                <w:rFonts w:ascii="Arial" w:cs="Arial" w:eastAsia="Arial" w:hAnsi="Arial"/>
                <w:b/>
                <w:bCs/>
                <w:color w:val="FFFFFF"/>
                <w:sz w:val="20"/>
                <w:szCs w:val="20"/>
              </w:rPr>
              <w:t xml:space="preserve">ALBERT Request Type (§9.1)</w:t>
            </w:r>
          </w:p>
        </w:tc>
      </w:tr>
      <w:tr>
        <w:tc>
          <w:tcPr>
            <w:tcW w:type="dxa" w:w="19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GRACE</w:t>
            </w:r>
          </w:p>
        </w:tc>
        <w:tc>
          <w:tcPr>
            <w:tcW w:type="dxa" w:w="21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Product / AI-companion name (consumer-facing)</w:t>
            </w:r>
          </w:p>
        </w:tc>
        <w:tc>
          <w:tcPr>
            <w:tcW w:type="dxa" w:w="19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Part 0 (Title), Part 1, Part 4</w:t>
            </w:r>
          </w:p>
        </w:tc>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SEARCH — Trademark/Servicemark, US, candidate classes IC 42 (software) and IC 44 (health services)</w:t>
            </w:r>
          </w:p>
        </w:tc>
      </w:tr>
      <w:tr>
        <w:tc>
          <w:tcPr>
            <w:tcW w:type="dxa" w:w="19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KindlyMoments</w:t>
            </w:r>
          </w:p>
        </w:tc>
        <w:tc>
          <w:tcPr>
            <w:tcW w:type="dxa" w:w="21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Company / sponsor brand name</w:t>
            </w:r>
          </w:p>
        </w:tc>
        <w:tc>
          <w:tcPr>
            <w:tcW w:type="dxa" w:w="19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Part 0, Part 5 (Authorship Block)</w:t>
            </w:r>
          </w:p>
        </w:tc>
        <w:tc>
          <w:tcPr>
            <w:tcW w:type="dxa" w:w="25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SEARCH — Trademark, US, IC 44 and IC 35 (business services)</w:t>
            </w:r>
          </w:p>
        </w:tc>
      </w:tr>
      <w:tr>
        <w:tc>
          <w:tcPr>
            <w:tcW w:type="dxa" w:w="19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NP Workstation</w:t>
            </w:r>
          </w:p>
        </w:tc>
        <w:tc>
          <w:tcPr>
            <w:tcW w:type="dxa" w:w="21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Internal subsystem name (Part 4)</w:t>
            </w:r>
          </w:p>
        </w:tc>
        <w:tc>
          <w:tcPr>
            <w:tcW w:type="dxa" w:w="19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Part 4 (Platform Specifics)</w:t>
            </w:r>
          </w:p>
        </w:tc>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SEARCH — Trademark, US, IC 9/42, flagged LOWER PRIORITY: internal-facing, not consumer-marketed</w:t>
            </w:r>
          </w:p>
        </w:tc>
      </w:tr>
    </w:tbl>
    <w:p>
      <w:pPr>
        <w:pStyle w:val="Heading3"/>
        <w:spacing w:after="100" w:before="220"/>
      </w:pPr>
      <w:r>
        <w:rPr>
          <w:rFonts w:ascii="Arial" w:cs="Arial" w:eastAsia="Arial" w:hAnsi="Arial"/>
          <w:b/>
          <w:bCs/>
          <w:color w:val="C8962A"/>
          <w:sz w:val="21"/>
          <w:szCs w:val="21"/>
        </w:rPr>
        <w:t xml:space="preserve">What Part 9 Would Not Do — and SOCRATES' Follow-Up</w:t>
      </w:r>
    </w:p>
    <w:p>
      <w:pPr>
        <w:pBdr>
          <w:left w:val="single" w:color="C8962A" w:sz="24" w:space="8"/>
        </w:pBdr>
        <w:shd w:fill="F5EBD8" w:val="clear"/>
        <w:spacing w:after="160" w:before="160"/>
        <w:ind w:left="200"/>
      </w:pPr>
      <w:r>
        <w:rPr>
          <w:rFonts w:ascii="Arial" w:cs="Arial" w:eastAsia="Arial" w:hAnsi="Arial"/>
          <w:b/>
          <w:bCs/>
          <w:color w:val="0D1B4B"/>
          <w:sz w:val="20"/>
          <w:szCs w:val="20"/>
        </w:rPr>
        <w:t xml:space="preserve">🗨  SOCRATES ASKS</w:t>
      </w:r>
      <w:r>
        <w:rPr>
          <w:rFonts w:ascii="Times New Roman" w:cs="Times New Roman" w:eastAsia="Times New Roman" w:hAnsi="Times New Roman"/>
          <w:i/>
          <w:iCs/>
          <w:color w:val="1A1A1A"/>
          <w:sz w:val="22"/>
          <w:szCs w:val="22"/>
        </w:rPr>
        <w:t xml:space="preserve">  —  Three names, three candidates, one table. So — what did the search find?</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Nothing, honestly, because no search happened. This is the distinction the cover disclosure exists to protect: producing a plausible-looking findings table here — serial numbers, register names, a clean “no conflict found” line — would be indistinguishable, on the page, from an actual USPTO/TESS query result. ALBERT's own constraint set forbids exactly that move even in a live pass: it will not represent an absence of evidence as a positive availability signal, and it will not fabricate register entries or application numbers. A training manual illustrating ALBERT is bound by the same rule ALBERT is bound by. What Chapter 4 can honestly show is the candidate list and the request each candidate would generate — not a result, because there isn't one yet.</w:t>
      </w:r>
    </w:p>
    <w:p>
      <w:pPr>
        <w:spacing w:after="120" w:line="276"/>
        <w:jc w:val="both"/>
      </w:pPr>
      <w:r>
        <w:rPr>
          <w:rFonts w:ascii="Times New Roman" w:cs="Times New Roman" w:eastAsia="Times New Roman" w:hAnsi="Times New Roman"/>
          <w:b/>
          <w:bCs/>
          <w:color w:val="0D1B4B"/>
          <w:sz w:val="22"/>
          <w:szCs w:val="22"/>
        </w:rPr>
        <w:t xml:space="preserve">What's actually in this Part (as produced today). </w:t>
      </w:r>
      <w:r>
        <w:rPr>
          <w:rFonts w:ascii="Times New Roman" w:cs="Times New Roman" w:eastAsia="Times New Roman" w:hAnsi="Times New Roman"/>
          <w:color w:val="1A1A1A"/>
          <w:sz w:val="22"/>
          <w:szCs w:val="22"/>
        </w:rPr>
        <w:t xml:space="preserve">Three extracted candidates, three classified request types, zero register queries run. The open item — an actual ALBERT SEARCH pass against GRACE, KindlyMoments, and NP Workstation — is carried forward to “What Still Isn't Done,” below, not quietly dropped.</w:t>
      </w:r>
    </w:p>
    <w:p>
      <w:pPr>
        <w:pStyle w:val="Heading3"/>
        <w:spacing w:after="100" w:before="220"/>
      </w:pPr>
      <w:r>
        <w:rPr>
          <w:rFonts w:ascii="Arial" w:cs="Arial" w:eastAsia="Arial" w:hAnsi="Arial"/>
          <w:b/>
          <w:bCs/>
          <w:color w:val="C8962A"/>
          <w:sz w:val="21"/>
          <w:szCs w:val="21"/>
        </w:rPr>
        <w:t xml:space="preserve">The Sequencing Question Chapter 1 Already Answers</w:t>
      </w:r>
    </w:p>
    <w:p>
      <w:pPr>
        <w:pBdr>
          <w:left w:val="single" w:color="C8962A" w:sz="24" w:space="8"/>
        </w:pBdr>
        <w:shd w:fill="F5EBD8" w:val="clear"/>
        <w:spacing w:after="160" w:before="160"/>
        <w:ind w:left="200"/>
      </w:pPr>
      <w:r>
        <w:rPr>
          <w:rFonts w:ascii="Arial" w:cs="Arial" w:eastAsia="Arial" w:hAnsi="Arial"/>
          <w:b/>
          <w:bCs/>
          <w:color w:val="0D1B4B"/>
          <w:sz w:val="20"/>
          <w:szCs w:val="20"/>
        </w:rPr>
        <w:t xml:space="preserve">🗨  SOCRATES ASKS</w:t>
      </w:r>
      <w:r>
        <w:rPr>
          <w:rFonts w:ascii="Times New Roman" w:cs="Times New Roman" w:eastAsia="Times New Roman" w:hAnsi="Times New Roman"/>
          <w:i/>
          <w:iCs/>
          <w:color w:val="1A1A1A"/>
          <w:sz w:val="22"/>
          <w:szCs w:val="22"/>
        </w:rPr>
        <w:t xml:space="preserve">  —  Chapter 1's own Part 1 was built backward — from a certified AI agent's spec, with no human-authored requirements document first. Does that same backward order break Part 9's rule that screening can't start until Parts 1 and 4 are finalized?</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No, and the reason is worth stating precisely. Part 9's sequencing rule (§9.3 of ATLAS 360 PLAN v3.0.0) cares about finalization, not about which direction Parts 1 and 4 were derived. Chapter 1's Part 1 was reverse-diagnosed from GRACE's own certified specification rather than forward-authored from a stakeholder interview — but by the time it appears in the produced PDD, it is finalized exactly as any forward-authored Part 1 would be. Part 9 reads the finished artifact; it does not care how the artifact was produced upstream of it. The same would not be true of Chapter 3's Part 2, which is marked [INFERRED] throughout — a screening pass could still run against Chapter 3's Part 4 candidate list, but any Part 9 assembled against an [INFERRED] Part would need to carry that same qualifier forward, since a candidate inferred from code structure is a weaker claim than one asserted in a human-authored requirement.</w:t>
      </w:r>
    </w:p>
    <w:p>
      <w:pPr>
        <w:pStyle w:val="Heading3"/>
        <w:spacing w:after="100" w:before="220"/>
      </w:pPr>
      <w:r>
        <w:rPr>
          <w:rFonts w:ascii="Arial" w:cs="Arial" w:eastAsia="Arial" w:hAnsi="Arial"/>
          <w:b/>
          <w:bCs/>
          <w:color w:val="C8962A"/>
          <w:sz w:val="21"/>
          <w:szCs w:val="21"/>
        </w:rPr>
        <w:t xml:space="preserve">SOCRATES' Verdict on Part 9</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The three-chapter table in the original manual's closing synthesis worked because Part 2's evidentiary status changed shape across the three chapters — scored, corrected, mandatorily inferred — while the Part itself never disappeared. Part 9 has not yet been tested the same way, and this chapter says so rather than pretending a single illustrative pass settles it. What this pass does show is narrower and still real: the extraction step treats a consumer-facing name, a company name, and an internal tool name as three different priority tiers without being told to — GRACE and KindlyMoments both carry consumer/legal exposure Part 9's own Input Contract would weight toward IC 44; NP Workstation, never marketed externally, is correctly flagged lower priority rather than screened with the same urgency. That differentiation is a real property of the specification, even though no search has actually run yet.</w:t>
      </w:r>
    </w:p>
    <w:p>
      <w:pPr>
        <w:pStyle w:val="Heading1"/>
        <w:pBdr>
          <w:bottom w:val="single" w:color="C8962A" w:sz="12" w:space="4"/>
        </w:pBdr>
        <w:spacing w:after="200" w:before="480"/>
      </w:pPr>
      <w:r>
        <w:rPr>
          <w:rFonts w:ascii="Arial" w:cs="Arial" w:eastAsia="Arial" w:hAnsi="Arial"/>
          <w:b/>
          <w:bCs/>
          <w:color w:val="0D1B4B"/>
          <w:sz w:val="30"/>
          <w:szCs w:val="30"/>
        </w:rPr>
        <w:t xml:space="preserve">A Fourth Question, Held Separately</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The original manual's closing table compares Chapters 1–3 across five dimensions — what was fed in, CODE DJ/Living PDD routing, Part 2's evidentiary status, Part 4's nature, and the SOLVA Verdict — because all three chapters produced live, scored, comparable data on every one of those dimensions. Chapter 4 does not get a sixth column in that table. Adding one would visually equate an illustrative walkthrough with three empirically produced case studies, which is exactly the kind of quiet overstatement Honesty Gate G3 exists to prevent.</w:t>
      </w:r>
    </w:p>
    <w:p>
      <w:pPr>
        <w:spacing w:after="140" w:line="276"/>
        <w:jc w:val="both"/>
      </w:pPr>
      <w:r>
        <w:rPr>
          <w:rFonts w:ascii="Times New Roman" w:cs="Times New Roman" w:eastAsia="Times New Roman" w:hAnsi="Times New Roman"/>
          <w:b w:val="false"/>
          <w:bCs w:val="false"/>
          <w:i w:val="false"/>
          <w:iCs w:val="false"/>
          <w:color w:val="1A1A1A"/>
          <w:sz w:val="22"/>
          <w:szCs w:val="22"/>
        </w:rPr>
        <w:t xml:space="preserve">Instead, Chapter 4 is reported here, on its own terms: one chapter, one illustrative pass, one open item. When a real PDD is produced under ATLAS 360 PLAN v3.0.0 with a live Part 9 — SEARCH actually run, findings actually dated and register-named — it earns a place in a genuinely six-dimension table. Until then, folding it into the existing one would be filling in the template rather than running the diagnosis, which is precisely the failure mode the original manual's own closing line warned against.</w:t>
      </w:r>
    </w:p>
    <w:p>
      <w:pPr>
        <w:pStyle w:val="Heading1"/>
        <w:pBdr>
          <w:bottom w:val="single" w:color="C8962A" w:sz="12" w:space="4"/>
        </w:pBdr>
        <w:spacing w:after="200" w:before="480"/>
      </w:pPr>
      <w:r>
        <w:rPr>
          <w:rFonts w:ascii="Arial" w:cs="Arial" w:eastAsia="Arial" w:hAnsi="Arial"/>
          <w:b/>
          <w:bCs/>
          <w:color w:val="0D1B4B"/>
          <w:sz w:val="30"/>
          <w:szCs w:val="30"/>
        </w:rPr>
        <w:t xml:space="preserve">Step 00 — Invocation &amp; Execution Log (FORGE 7-Step)</w:t>
      </w:r>
    </w:p>
    <w:p>
      <w:pPr>
        <w:spacing w:after="140" w:line="276"/>
        <w:jc w:val="both"/>
      </w:pPr>
      <w:r>
        <w:rPr>
          <w:rFonts w:ascii="Times New Roman" w:cs="Times New Roman" w:eastAsia="Times New Roman" w:hAnsi="Times New Roman"/>
          <w:b w:val="false"/>
          <w:bCs w:val="false"/>
          <w:i/>
          <w:iCs/>
          <w:color w:val="1A1A1A"/>
          <w:sz w:val="22"/>
          <w:szCs w:val="22"/>
        </w:rPr>
        <w:t xml:space="preserve">Produced via the SPC PLAYER OMNIBUS HARNESS content-production discipline, consistent with the Step 00 logging convention this platform applies to every content-architecture pass.</w:t>
      </w:r>
    </w:p>
    <w:p>
      <w:pPr>
        <w:spacing w:after="120"/>
      </w:pPr>
      <w:r>
        <w:rPr>
          <w:rFonts w:ascii="Times New Roman" w:cs="Times New Roman" w:eastAsia="Times New Roman" w:hAnsi="Times New Roman"/>
          <w:b/>
          <w:bCs/>
          <w:sz w:val="22"/>
          <w:szCs w:val="22"/>
        </w:rPr>
        <w:t xml:space="preserve">Invocation: </w:t>
      </w:r>
      <w:r>
        <w:rPr>
          <w:rFonts w:ascii="Times New Roman" w:cs="Times New Roman" w:eastAsia="Times New Roman" w:hAnsi="Times New Roman"/>
          <w:i/>
          <w:iCs/>
          <w:sz w:val="22"/>
          <w:szCs w:val="22"/>
        </w:rPr>
        <w:t xml:space="preserve">“Upgrade this training material with the new v3 of ATLAS 360 PLAN using the SPC PLAYER.”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0D1B4B"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7400"/>
            <w:shd w:fill="0D1B4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16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[F0 LLM]</w:t>
            </w:r>
          </w:p>
        </w:tc>
        <w:tc>
          <w:tcPr>
            <w:tcW w:type="dxa" w:w="74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No change to PLAYER's LLM-agnostic execution layer.</w:t>
            </w:r>
          </w:p>
        </w:tc>
      </w:tr>
      <w:tr>
        <w:tc>
          <w:tcPr>
            <w:tcW w:type="dxa" w:w="16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[F1 INTAKE]</w:t>
            </w:r>
          </w:p>
        </w:tc>
        <w:tc>
          <w:tcPr>
            <w:tcW w:type="dxa" w:w="74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3 sources read in full — original Training Manual v1.0 (JNGL-TRAINING-ATLAS360-SOCRATES-2026-001), ATLAS 360 PLAN v3.0.0 (JNGL-SPC-ATLAS360-2026-001, Section 9), and ALBERT SPC v1.0 (JNGL-SPC-ALBERT-2026-001, §9 Constraint Set).</w:t>
            </w:r>
          </w:p>
        </w:tc>
      </w:tr>
      <w:tr>
        <w:tc>
          <w:tcPr>
            <w:tcW w:type="dxa" w:w="16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[F2 CLASSIFY]</w:t>
            </w:r>
          </w:p>
        </w:tc>
        <w:tc>
          <w:tcPr>
            <w:tcW w:type="dxa" w:w="74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Content addendum — one new chapter plus front/back-matter updates. Not a rewrite; Chapters 1–3 and the original Synthesis table are unmodified and unrepeated here.</w:t>
            </w:r>
          </w:p>
        </w:tc>
      </w:tr>
      <w:tr>
        <w:tc>
          <w:tcPr>
            <w:tcW w:type="dxa" w:w="16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[F3 DECOMPOSE]</w:t>
            </w:r>
          </w:p>
        </w:tc>
        <w:tc>
          <w:tcPr>
            <w:tcW w:type="dxa" w:w="74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1 new chapter (Chapter 4, 5 SOCRATES-question units) · 1 Honesty Gate disclosure box · 1 closing note explaining exclusion from the original comparison table · 1 Step 00 log (this section) · 1 open-items carryforward.</w:t>
            </w:r>
          </w:p>
        </w:tc>
      </w:tr>
      <w:tr>
        <w:tc>
          <w:tcPr>
            <w:tcW w:type="dxa" w:w="16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[F4 TAXONOMY]</w:t>
            </w:r>
          </w:p>
        </w:tc>
        <w:tc>
          <w:tcPr>
            <w:tcW w:type="dxa" w:w="74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SOCRATES (narrator, Seat #7, carried forward unchanged) · ALBERT (subject of the new chapter) · KLARITY SI (clarity/consistency pass against the base manual's own established voice) · SKRIBE (formatting continuity — same house style, same speech-bubble convention).</w:t>
            </w:r>
          </w:p>
        </w:tc>
      </w:tr>
      <w:tr>
        <w:tc>
          <w:tcPr>
            <w:tcW w:type="dxa" w:w="16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[F5 SPECIFY]</w:t>
            </w:r>
          </w:p>
        </w:tc>
        <w:tc>
          <w:tcPr>
            <w:tcW w:type="dxa" w:w="74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Chapter 4 restricted to SEARCH/PATENT_VALIDATION-shaped illustration only, matching ATLAS 360 PLAN v3.0.0 §9.2's own DRAFT_DOCUMENTATION exclusion — no filing language, no letter drafts, anywhere in this addendum.</w:t>
            </w:r>
          </w:p>
        </w:tc>
      </w:tr>
      <w:tr>
        <w:tc>
          <w:tcPr>
            <w:tcW w:type="dxa" w:w="16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[G3 HONESTY GATE]</w:t>
            </w:r>
          </w:p>
        </w:tc>
        <w:tc>
          <w:tcPr>
            <w:tcW w:type="dxa" w:w="7400"/>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Passed, on one binding condition carried through every draft of this section: no fabricated register findings, serial numbers, or “no conflict found” lines. The candidate-extraction table is real (pulled from Chapter 1's own published text); the findings table that would normally follow it is explicitly withheld and named as withheld, not simulated.</w:t>
            </w:r>
          </w:p>
        </w:tc>
      </w:tr>
      <w:tr>
        <w:tc>
          <w:tcPr>
            <w:tcW w:type="dxa" w:w="16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[F7 CERTIFY]</w:t>
            </w:r>
          </w:p>
        </w:tc>
        <w:tc>
          <w:tcPr>
            <w:tcW w:type="dxa" w:w="7400"/>
            <w:shd w:fill="F5EBD8"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1A1A1A"/>
                <w:sz w:val="20"/>
                <w:szCs w:val="20"/>
              </w:rPr>
              <w:t xml:space="preserve">JCSE not scored — this is a training-content addendum, not an SPC, and carries no JCSE of its own. Tier 0. Not FORGE certified. Status inherited from both ATLAS 360 PLAN v3.0.0 (JCSE not re-scored, F5/F7 open) and ALBERT (§9.6's disclosed no-live-data limitation).</w:t>
            </w:r>
          </w:p>
        </w:tc>
      </w:tr>
    </w:tbl>
    <w:p>
      <w:pPr>
        <w:pStyle w:val="Heading1"/>
        <w:pBdr>
          <w:bottom w:val="single" w:color="C8962A" w:sz="12" w:space="4"/>
        </w:pBdr>
        <w:spacing w:after="200" w:before="480"/>
      </w:pPr>
      <w:r>
        <w:rPr>
          <w:rFonts w:ascii="Arial" w:cs="Arial" w:eastAsia="Arial" w:hAnsi="Arial"/>
          <w:b/>
          <w:bCs/>
          <w:color w:val="0D1B4B"/>
          <w:sz w:val="30"/>
          <w:szCs w:val="30"/>
        </w:rPr>
        <w:t xml:space="preserve">What Still Isn't Done</w:t>
      </w:r>
    </w:p>
    <w:p>
      <w:pPr>
        <w:pStyle w:val="ListParagraph"/>
        <w:numPr>
          <w:ilvl w:val="0"/>
          <w:numId w:val="2"/>
        </w:numPr>
        <w:spacing w:after="90" w:line="264"/>
      </w:pPr>
      <w:r>
        <w:rPr>
          <w:rFonts w:ascii="Times New Roman" w:cs="Times New Roman" w:eastAsia="Times New Roman" w:hAnsi="Times New Roman"/>
          <w:color w:val="1A1A1A"/>
          <w:sz w:val="22"/>
          <w:szCs w:val="22"/>
        </w:rPr>
        <w:t xml:space="preserve">No live ALBERT SEARCH pass has been run against GRACE, KindlyMoments, or NP Workstation — the candidate table above is an extraction, not a result. This is the single most important open item in this addendum, not a footnote.</w:t>
      </w:r>
    </w:p>
    <w:p>
      <w:pPr>
        <w:pStyle w:val="ListParagraph"/>
        <w:numPr>
          <w:ilvl w:val="0"/>
          <w:numId w:val="2"/>
        </w:numPr>
        <w:spacing w:after="90" w:line="264"/>
      </w:pPr>
      <w:r>
        <w:rPr>
          <w:rFonts w:ascii="Times New Roman" w:cs="Times New Roman" w:eastAsia="Times New Roman" w:hAnsi="Times New Roman"/>
          <w:color w:val="1A1A1A"/>
          <w:sz w:val="22"/>
          <w:szCs w:val="22"/>
        </w:rPr>
        <w:t xml:space="preserve">Chapter 4 has not been produced for Chapters 2 or 3 — the legacy-upgrade case (candidates: “KindlyMoments,” any product names inside the 14-phase worksheet) and the code-validation case (candidates, if any, would need to be extracted from an [INFERRED] Part 4, per the sequencing note above) remain open.</w:t>
      </w:r>
    </w:p>
    <w:p>
      <w:pPr>
        <w:pStyle w:val="ListParagraph"/>
        <w:numPr>
          <w:ilvl w:val="0"/>
          <w:numId w:val="2"/>
        </w:numPr>
        <w:spacing w:after="90" w:line="264"/>
      </w:pPr>
      <w:r>
        <w:rPr>
          <w:rFonts w:ascii="Times New Roman" w:cs="Times New Roman" w:eastAsia="Times New Roman" w:hAnsi="Times New Roman"/>
          <w:color w:val="1A1A1A"/>
          <w:sz w:val="22"/>
          <w:szCs w:val="22"/>
        </w:rPr>
        <w:t xml:space="preserve">The Section 14 numbering-gap fix and the Dev Kit / Cheat Sheet mechanics carried in ATLAS 360 PLAN v3.0.0 are not walked through in this addendum at all — they don't change what a reader of the training manual needs to know about Parts 0–8, so SOCRATES did not manufacture a question about them just to have one.</w:t>
      </w:r>
    </w:p>
    <w:p>
      <w:pPr>
        <w:pStyle w:val="ListParagraph"/>
        <w:numPr>
          <w:ilvl w:val="0"/>
          <w:numId w:val="2"/>
        </w:numPr>
        <w:spacing w:after="90" w:line="264"/>
      </w:pPr>
      <w:r>
        <w:rPr>
          <w:rFonts w:ascii="Times New Roman" w:cs="Times New Roman" w:eastAsia="Times New Roman" w:hAnsi="Times New Roman"/>
          <w:color w:val="1A1A1A"/>
          <w:sz w:val="22"/>
          <w:szCs w:val="22"/>
        </w:rPr>
        <w:t xml:space="preserve">Per ATLAS 360 PLAN v3.0.0 §1.1 and this addendum's own [F7 CERTIFY] line, none of this — base manual, Chapters 1–3, or this addendum — is FORGE certified. That was true before this addendum and remains true after it.</w:t>
      </w:r>
    </w:p>
    <w:p>
      <w:pPr>
        <w:spacing w:before="300"/>
      </w:pPr>
      <w:r>
        <w:rPr>
          <w:rFonts w:ascii="Times New Roman" w:cs="Times New Roman" w:eastAsia="Times New Roman" w:hAnsi="Times New Roman"/>
          <w:i/>
          <w:iCs/>
          <w:color w:val="555555"/>
          <w:sz w:val="18"/>
          <w:szCs w:val="18"/>
        </w:rPr>
        <w:t xml:space="preserve">End of Addendum — JNGL-TRAINING-ATLAS360-SOCRATES-2026-002. Amends JNGL-TRAINING-ATLAS360-SOCRATES-2026-001 (effective version now v2.0). Narrated in the voice of SOCRATES (Seat #7), per its standing role as the Roundtable's dialectic interrogator — not a claim that SOCRATES is a separate certified author independent of this document's human production team.</w:t>
      </w:r>
    </w:p>
    <w:sectPr>
      <w:headerReference w:type="default" r:id="rId7"/>
      <w:footerReference w:type="default" r:id="rId8"/>
      <w:pgSz w:w="12240" w:h="15840" w:orient="portrait"/>
      <w:pgMar w:top="1944" w:right="1944" w:bottom="1944" w:left="194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A" w:sz="6" w:space="4"/>
      </w:pBdr>
      <w:tabs>
        <w:tab w:val="right" w:pos="9026"/>
      </w:tabs>
    </w:pPr>
    <w:r>
      <w:rPr>
        <w:rFonts w:ascii="Arial" w:cs="Arial" w:eastAsia="Arial" w:hAnsi="Arial"/>
        <w:color w:val="555555"/>
        <w:sz w:val="15"/>
        <w:szCs w:val="15"/>
      </w:rPr>
      <w:t xml:space="preserve">© 2026 Oluseye Shay Amusa · Koncentric Labs Inc. · Junglenomics FORGE Institute</w:t>
    </w:r>
    <w:r>
      <w:rPr>
        <w:rFonts w:ascii="Arial" w:cs="Arial" w:eastAsia="Arial" w:hAnsi="Arial"/>
        <w:color w:val="555555"/>
        <w:sz w:val="15"/>
        <w:szCs w:val="15"/>
      </w:rPr>
      <w:t xml:space="preserve">	Page </w:t>
    </w:r>
    <w:fldSimple w:instr="PAGE"/>
    <w:r>
      <w:rPr>
        <w:rFonts w:ascii="Arial" w:cs="Arial" w:eastAsia="Arial" w:hAnsi="Arial"/>
        <w:color w:val="555555"/>
        <w:sz w:val="15"/>
        <w:szCs w:val="15"/>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A" w:sz="6" w:space="4"/>
      </w:pBdr>
      <w:tabs>
        <w:tab w:val="right" w:pos="9026"/>
      </w:tabs>
    </w:pPr>
    <w:r>
      <w:rPr>
        <w:rFonts w:ascii="Arial" w:cs="Arial" w:eastAsia="Arial" w:hAnsi="Arial"/>
        <w:color w:val="0D1B4B"/>
        <w:sz w:val="16"/>
        <w:szCs w:val="16"/>
      </w:rPr>
      <w:t xml:space="preserve">SOCRATES TRAINING MANUAL — JNGL-TRAINING-ATLAS360-SOCRATES-2026-002</w:t>
    </w:r>
    <w:r>
      <w:rPr>
        <w:rFonts w:ascii="Arial" w:cs="Arial" w:eastAsia="Arial" w:hAnsi="Arial"/>
        <w:color w:val="0D1B4B"/>
        <w:sz w:val="16"/>
        <w:szCs w:val="16"/>
      </w:rPr>
      <w:t xml:space="preserve">	v2.0 Addendum — Chapter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2026-09-03T14:51:31.196Z</dcterms:created>
  <dcterms:modified xsi:type="dcterms:W3CDTF">2026-09-03T14:51:31.208Z</dcterms:modified>
</cp:coreProperties>
</file>

<file path=docProps/custom.xml><?xml version="1.0" encoding="utf-8"?>
<Properties xmlns="http://schemas.openxmlformats.org/officeDocument/2006/custom-properties" xmlns:vt="http://schemas.openxmlformats.org/officeDocument/2006/docPropsVTypes"/>
</file>