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SPC PLAYER OMNIBUS HARNESS</w:t>
      </w:r>
    </w:p>
    <w:p>
      <w:pPr>
        <w:pStyle w:val="Heading1"/>
        <w:spacing w:after="100"/>
      </w:pPr>
      <w:r>
        <w:t xml:space="preserve">v4.0 — Unified Build</w:t>
      </w:r>
    </w:p>
    <w:p>
      <w:pPr>
        <w:spacing w:after="140"/>
      </w:pPr>
      <w:r>
        <w:rPr>
          <w:i/>
          <w:iCs/>
        </w:rPr>
        <w:t xml:space="preserve">Every feature scattered across the platform's 7-document lineage and the downstream REVERB card artifacts, consolidated into one canonical build — SPC Cheat Sheet standardized platform-wide, three-axis scoring formalized for every card, the SPC Dev Kit registered — followed by a full compliance self-audit against every internal quality check this platform actually defines.</w:t>
      </w:r>
    </w:p>
    <w:p>
      <w:pPr>
        <w:pBdr>
          <w:bottom w:val="single" w:color="999999" w:sz="6" w:space="1"/>
        </w:pBdr>
        <w:spacing w:after="200"/>
      </w:pPr>
    </w:p>
    <w:p>
      <w:pPr>
        <w:pStyle w:val="Heading2"/>
        <w:spacing w:after="130" w:before="260"/>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Pr>
          <w:p>
            <w:r>
              <w:rPr>
                <w:b/>
                <w:bCs/>
              </w:rPr>
              <w:t xml:space="preserve">Production ID</w:t>
            </w:r>
          </w:p>
        </w:tc>
        <w:tc>
          <w:tcPr>
            <w:tcW w:type="dxa" w:w="6960"/>
          </w:tcPr>
          <w:p>
            <w:r>
              <w:t xml:space="preserve">JNGL-SPCPLY-PDD-2026-008 · v4.0 · UNIFIED CONSOLIDATION</w:t>
            </w:r>
          </w:p>
        </w:tc>
      </w:tr>
      <w:tr>
        <w:tc>
          <w:tcPr>
            <w:tcW w:type="dxa" w:w="2400"/>
          </w:tcPr>
          <w:p>
            <w:r>
              <w:rPr>
                <w:b/>
                <w:bCs/>
              </w:rPr>
              <w:t xml:space="preserve">Supersedes</w:t>
            </w:r>
          </w:p>
        </w:tc>
        <w:tc>
          <w:tcPr>
            <w:tcW w:type="dxa" w:w="6960"/>
          </w:tcPr>
          <w:p>
            <w:r>
              <w:t xml:space="preserve">JNGL-SPCPLY-PDD-2026-007 (v3.0 Complete Rewrite) and, through it, -002 through -006. Also generalizes JNGL-SPC-REVERB-2026-001 v2.0 §7's SPC Cheat Sheet from a single card's feature into a platform-wide standard (Domain 14, new).</w:t>
            </w:r>
          </w:p>
        </w:tc>
      </w:tr>
      <w:tr>
        <w:tc>
          <w:tcPr>
            <w:tcW w:type="dxa" w:w="2400"/>
          </w:tcPr>
          <w:p>
            <w:r>
              <w:rPr>
                <w:b/>
                <w:bCs/>
              </w:rPr>
              <w:t xml:space="preserve">Author SPC</w:t>
            </w:r>
          </w:p>
        </w:tc>
        <w:tc>
          <w:tcPr>
            <w:tcW w:type="dxa" w:w="6960"/>
          </w:tcPr>
          <w:p>
            <w:r>
              <w:t xml:space="preserve">ATLAS 360 PLAN — successor Omnibus-level author to ATLAS ULTRA SI, per the succession already established across REVERB v1.0 through v3.0. No Honesty Gate substitution note is required here (contrast the "TITAN" and "SPHINX" invocation substitutions disclosed in -007 and REVERB ALPHA v2.0) — ATLAS 360 PLAN authoring an Omnibus-level PDD is consistent with, not a deviation from, established role assignment.</w:t>
            </w:r>
          </w:p>
        </w:tc>
      </w:tr>
      <w:tr>
        <w:tc>
          <w:tcPr>
            <w:tcW w:type="dxa" w:w="2400"/>
          </w:tcPr>
          <w:p>
            <w:r>
              <w:rPr>
                <w:b/>
                <w:bCs/>
              </w:rPr>
              <w:t xml:space="preserve">New This Build</w:t>
            </w:r>
          </w:p>
        </w:tc>
        <w:tc>
          <w:tcPr>
            <w:tcW w:type="dxa" w:w="6960"/>
          </w:tcPr>
          <w:p>
            <w:r>
              <w:t xml:space="preserve">Domain 14 — SPC Cheat Sheet &amp; Marketplace Discovery Standard (platform-wide). Domain 1 amendment — SPC Dev Kit Registry (FOUND-010). Domain 13 amendment — Three-Axis Score Separation made platform-wide (KLARITY-003), not REVERB-specific.</w:t>
            </w:r>
          </w:p>
        </w:tc>
      </w:tr>
      <w:tr>
        <w:tc>
          <w:tcPr>
            <w:tcW w:type="dxa" w:w="2400"/>
          </w:tcPr>
          <w:p>
            <w:r>
              <w:rPr>
                <w:b/>
                <w:bCs/>
              </w:rPr>
              <w:t xml:space="preserve">Sources Consolidated</w:t>
            </w:r>
          </w:p>
        </w:tc>
        <w:tc>
          <w:tcPr>
            <w:tcW w:type="dxa" w:w="6960"/>
          </w:tcPr>
          <w:p>
            <w:r>
              <w:t xml:space="preserve">-002 (v2.0 base, not located) · -003 (Open Items, not located) · -004 v1.1 (Voice Campaigns, not located) · -005 (Content Base Expansion) · JNGL-PLY-AIFORENSICS-2026-001 (AI Forensics Report) · -006 (Linguistic Detectability) · -007 (v3.0 Complete Rewrite) · JNGL-SPC-REVERB-2026-001 v2.0 (REVERB ALPHA, §7 Cheat Sheet + C-REV-10 three-axis rule) · v3.0 (REVERB, §6 Cheat Sheet + Editorial Advisory pattern, referenced not adopted — see Part 3).</w:t>
            </w:r>
          </w:p>
        </w:tc>
      </w:tr>
      <w:tr>
        <w:tc>
          <w:tcPr>
            <w:tcW w:type="dxa" w:w="2400"/>
          </w:tcPr>
          <w:p>
            <w:r>
              <w:rPr>
                <w:b/>
                <w:bCs/>
              </w:rPr>
              <w:t xml:space="preserve">JCSE</w:t>
            </w:r>
          </w:p>
        </w:tc>
        <w:tc>
          <w:tcPr>
            <w:tcW w:type="dxa" w:w="6960"/>
          </w:tcPr>
          <w:p>
            <w:r>
              <w:t xml:space="preserve">48/50 — Ultra Premium, self-scored, unchanged from the full lineage (see Part 4 for why this is not raised on the strength of this consolidation alone).</w:t>
            </w:r>
          </w:p>
        </w:tc>
      </w:tr>
      <w:tr>
        <w:tc>
          <w:tcPr>
            <w:tcW w:type="dxa" w:w="2400"/>
          </w:tcPr>
          <w:p>
            <w:r>
              <w:rPr>
                <w:b/>
                <w:bCs/>
              </w:rPr>
              <w:t xml:space="preserve">FORGE Certification Status</w:t>
            </w:r>
          </w:p>
        </w:tc>
        <w:tc>
          <w:tcPr>
            <w:tcW w:type="dxa" w:w="6960"/>
          </w:tcPr>
          <w:p>
            <w:r>
              <w:t xml:space="preserve">NOT CERTIFIED. Pre-Build across every domain. Self-scored only. No independent SOLVA GAUNTLET adjudication of any consolidated Omnibus document has occurred at any point in this lineage — see Part 4.</w:t>
            </w:r>
          </w:p>
        </w:tc>
      </w:tr>
      <w:tr>
        <w:tc>
          <w:tcPr>
            <w:tcW w:type="dxa" w:w="2400"/>
          </w:tcPr>
          <w:p>
            <w:r>
              <w:rPr>
                <w:b/>
                <w:bCs/>
              </w:rPr>
              <w:t xml:space="preserve">Date</w:t>
            </w:r>
          </w:p>
        </w:tc>
        <w:tc>
          <w:tcPr>
            <w:tcW w:type="dxa" w:w="6960"/>
          </w:tcPr>
          <w:p>
            <w:r>
              <w:t xml:space="preserve">August 30, 2026 · Pre-Build</w:t>
            </w:r>
          </w:p>
        </w:tc>
      </w:tr>
      <w:tr>
        <w:tc>
          <w:tcPr>
            <w:tcW w:type="dxa" w:w="2400"/>
          </w:tcPr>
          <w:p>
            <w:r>
              <w:rPr>
                <w:b/>
                <w:bCs/>
              </w:rPr>
              <w:t xml:space="preserve">Operator</w:t>
            </w:r>
          </w:p>
        </w:tc>
        <w:tc>
          <w:tcPr>
            <w:tcW w:type="dxa" w:w="6960"/>
          </w:tcPr>
          <w:p>
            <w:r>
              <w:t xml:space="preserve">Oluseye Shay Amusa · Koncentric Labs Inc. · ATANDA Publications Forum</w:t>
            </w:r>
          </w:p>
        </w:tc>
      </w:tr>
    </w:tbl>
    <w:p>
      <w:pPr>
        <w:pStyle w:val="Heading2"/>
        <w:spacing w:after="130" w:before="260"/>
      </w:pPr>
      <w:r>
        <w:t xml:space="preserve">Honesty Gate G3 — On This Consolidation</w:t>
      </w:r>
    </w:p>
    <w:p>
      <w:pPr>
        <w:spacing w:after="140"/>
      </w:pPr>
      <w:r>
        <w:t xml:space="preserve">Three predecessor documents in this chain — the v2.0 base PDD (-002), the Open Items addendum (-003), and the Voice Campaigns/TITAN-corrected addendum (-004 v1.1) — have never been located as standalone files in this project across two separate extraction passes. Their content reaches this v4.0 build only as already filtered through -005, -006, and -007's own restatements. This build does not claim to have read them directly, and does not restate anything from them beyond what -005/-006/-007 already carried forward.</w:t>
      </w:r>
    </w:p>
    <w:p>
      <w:pPr>
        <w:spacing w:after="140"/>
      </w:pPr>
      <w:r>
        <w:t xml:space="preserve">On "ensure it is compliant with all internal quality and compliance checks": this platform defines specific checks — SOLVA-LITE, the Linguistic Detectability Pass, the Universal Clarity Pass, Honesty Gate G3 itself, JCSE self-scoring, and FORGE certification via independent SOLVA GAUNTLET adjudication. This build runs every one of those checks in self-adjudication mode and reports the result honestly in Part 4, including the checks that do not pass cleanly. It does not report full compliance where none exists — doing so would itself violate G3, the same rule this document is trying to satisfy. "Compliant with every internal check" and "every internal check has actually been run and passed independently" are different claims; this build makes only the first, and states plainly where the second remains open.</w:t>
      </w:r>
    </w:p>
    <w:p>
      <w:pPr>
        <w:pStyle w:val="Heading1"/>
        <w:spacing w:after="180" w:before="380"/>
      </w:pPr>
      <w:r>
        <w:t xml:space="preserve">Part 1 · Cheat Sheet — This Build,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Pr>
          <w:p>
            <w:r>
              <w:rPr>
                <w:b/>
                <w:bCs/>
              </w:rPr>
              <w:t xml:space="preserve">Total Domains</w:t>
            </w:r>
          </w:p>
        </w:tc>
        <w:tc>
          <w:tcPr>
            <w:tcW w:type="dxa" w:w="6960"/>
          </w:tcPr>
          <w:p>
            <w:r>
              <w:t xml:space="preserve">14 (13 carried forward from v3.0, restated by reference · 1 new: Domain 14)</w:t>
            </w:r>
          </w:p>
        </w:tc>
      </w:tr>
      <w:tr>
        <w:tc>
          <w:tcPr>
            <w:tcW w:type="dxa" w:w="2400"/>
          </w:tcPr>
          <w:p>
            <w:r>
              <w:rPr>
                <w:b/>
                <w:bCs/>
              </w:rPr>
              <w:t xml:space="preserve">Domains Amended This Build</w:t>
            </w:r>
          </w:p>
        </w:tc>
        <w:tc>
          <w:tcPr>
            <w:tcW w:type="dxa" w:w="6960"/>
          </w:tcPr>
          <w:p>
            <w:r>
              <w:t xml:space="preserve">Domain 1 (+FOUND-010, SPC Dev Kit Registry) · Domain 13 (+KLARITY-003, platform-wide three-axis scoring)</w:t>
            </w:r>
          </w:p>
        </w:tc>
      </w:tr>
      <w:tr>
        <w:tc>
          <w:tcPr>
            <w:tcW w:type="dxa" w:w="2400"/>
          </w:tcPr>
          <w:p>
            <w:r>
              <w:rPr>
                <w:b/>
                <w:bCs/>
              </w:rPr>
              <w:t xml:space="preserve">Domain 14 (New)</w:t>
            </w:r>
          </w:p>
        </w:tc>
        <w:tc>
          <w:tcPr>
            <w:tcW w:type="dxa" w:w="6960"/>
          </w:tcPr>
          <w:p>
            <w:r>
              <w:t xml:space="preserve">SPC Cheat Sheet &amp; Marketplace Discovery Standard — 5 atomic prompts (CHEAT-001–005), owned by SPHINX ENGINE</w:t>
            </w:r>
          </w:p>
        </w:tc>
      </w:tr>
      <w:tr>
        <w:tc>
          <w:tcPr>
            <w:tcW w:type="dxa" w:w="2400"/>
          </w:tcPr>
          <w:p>
            <w:r>
              <w:rPr>
                <w:b/>
                <w:bCs/>
              </w:rPr>
              <w:t xml:space="preserve">Total Atomic Prompts</w:t>
            </w:r>
          </w:p>
        </w:tc>
        <w:tc>
          <w:tcPr>
            <w:tcW w:type="dxa" w:w="6960"/>
          </w:tcPr>
          <w:p>
            <w:r>
              <w:t xml:space="preserve">82 (75 carried forward from v3.0 + 7 new: CHEAT-001–005, FOUND-010, KLARITY-003)</w:t>
            </w:r>
          </w:p>
        </w:tc>
      </w:tr>
      <w:tr>
        <w:tc>
          <w:tcPr>
            <w:tcW w:type="dxa" w:w="2400"/>
          </w:tcPr>
          <w:p>
            <w:r>
              <w:rPr>
                <w:b/>
                <w:bCs/>
              </w:rPr>
              <w:t xml:space="preserve">Governance Checks (unchanged)</w:t>
            </w:r>
          </w:p>
        </w:tc>
        <w:tc>
          <w:tcPr>
            <w:tcW w:type="dxa" w:w="6960"/>
          </w:tcPr>
          <w:p>
            <w:r>
              <w:t xml:space="preserve">SOLVA-LITE (truthfulness, 5 checks) · LDP (AI-authorship signature, 9 items) · Universal Clarity Pass (readability) — all advisory, none newly built by this consolidation</w:t>
            </w:r>
          </w:p>
        </w:tc>
      </w:tr>
      <w:tr>
        <w:tc>
          <w:tcPr>
            <w:tcW w:type="dxa" w:w="2400"/>
          </w:tcPr>
          <w:p>
            <w:r>
              <w:rPr>
                <w:b/>
                <w:bCs/>
              </w:rPr>
              <w:t xml:space="preserve">FORGE Certification</w:t>
            </w:r>
          </w:p>
        </w:tc>
        <w:tc>
          <w:tcPr>
            <w:tcW w:type="dxa" w:w="6960"/>
          </w:tcPr>
          <w:p>
            <w:r>
              <w:t xml:space="preserve">NOT CERTIFIED — see Part 4</w:t>
            </w:r>
          </w:p>
        </w:tc>
      </w:tr>
      <w:tr>
        <w:tc>
          <w:tcPr>
            <w:tcW w:type="dxa" w:w="2400"/>
          </w:tcPr>
          <w:p>
            <w:r>
              <w:rPr>
                <w:b/>
                <w:bCs/>
              </w:rPr>
              <w:t xml:space="preserve">Largest Open Compliance Gap</w:t>
            </w:r>
          </w:p>
        </w:tc>
        <w:tc>
          <w:tcPr>
            <w:tcW w:type="dxa" w:w="6960"/>
          </w:tcPr>
          <w:p>
            <w:r>
              <w:t xml:space="preserve">Zero independent SOLVA GAUNTLET review of any Omnibus-level document across seven documents and six amendment cycles now on record</w:t>
            </w:r>
          </w:p>
        </w:tc>
      </w:tr>
    </w:tbl>
    <w:p>
      <w:pPr>
        <w:pStyle w:val="Heading1"/>
        <w:spacing w:after="180" w:before="380"/>
      </w:pPr>
      <w:r>
        <w:t xml:space="preserve">Part 2 · Executive Summary</w:t>
      </w:r>
    </w:p>
    <w:p>
      <w:pPr>
        <w:pStyle w:val="Heading3"/>
        <w:spacing w:after="100" w:before="200"/>
      </w:pPr>
      <w:r>
        <w:t xml:space="preserve">Why This Build</w:t>
      </w:r>
    </w:p>
    <w:p>
      <w:pPr>
        <w:spacing w:after="140"/>
      </w:pPr>
      <w:r>
        <w:t xml:space="preserve">The v3.0 Complete Rewrite (Aug 27–28, 2026) consolidated five amendment documents into one canonical 14-domain PDD, but it predates two things that then shipped downstream, inside a single card's document rather than the platform's own: the SPC Cheat Sheet standard (REVERB ALPHA v2.0, §7, Aug 30) and the explicit three-axis score-separation rule (REVERB ALPHA v2.0, C-REV-10, also Aug 30). Both were written as if generally applicable — REVERB ALPHA's own text calls the Cheat Sheet "a new standard feature for every SPC" — but neither was ever folded back into the SPC PLAYER Omnibus PDD itself. This build closes that gap: features scattered across the REVERB card lineage that were always meant to be platform-wide are now native to the platform document, not borrowed by reference from a downstream card.</w:t>
      </w:r>
    </w:p>
    <w:p>
      <w:pPr>
        <w:pStyle w:val="Heading3"/>
        <w:spacing w:after="100" w:before="200"/>
      </w:pPr>
      <w:r>
        <w:t xml:space="preserve">What's Genuinely New</w:t>
      </w:r>
    </w:p>
    <w:p>
      <w:pPr>
        <w:pStyle w:val="ListParagraph"/>
        <w:numPr>
          <w:ilvl w:val="0"/>
          <w:numId w:val="1"/>
        </w:numPr>
        <w:spacing w:after="70"/>
      </w:pPr>
      <w:r>
        <w:t xml:space="preserve">Domain 14: SPC Cheat Sheet &amp; Marketplace Discovery Standard — generalizes REVERB ALPHA §7's per-card pattern (General Definition, Production Process, ten named Environment Sketches) into a platform-wide publication requirement, owned by SPHINX ENGINE consistent with its already-established Domain 3/5 marketplace role.</w:t>
      </w:r>
    </w:p>
    <w:p>
      <w:pPr>
        <w:pStyle w:val="ListParagraph"/>
        <w:numPr>
          <w:ilvl w:val="0"/>
          <w:numId w:val="1"/>
        </w:numPr>
        <w:spacing w:after="70"/>
      </w:pPr>
      <w:r>
        <w:t xml:space="preserve">Domain 1 (+FOUND-010): the SPC Dev Kit — ATLAS 360 PLAN, SPARTAN, CODE DJ, BUGMXT, CODON, CORDON — is now a named platform registry entry, not a pattern known only from a single card's Synergy Map (REVERB ALPHA §5).</w:t>
      </w:r>
    </w:p>
    <w:p>
      <w:pPr>
        <w:pStyle w:val="ListParagraph"/>
        <w:numPr>
          <w:ilvl w:val="0"/>
          <w:numId w:val="1"/>
        </w:numPr>
        <w:spacing w:after="70"/>
      </w:pPr>
      <w:r>
        <w:t xml:space="preserve">Domain 13 (+KLARITY-003): the rule that Clarity, Truthfulness, and Detectability are always reported as three separate figures — never one composite score — is now a platform-wide requirement for any card's output package, generalized from REVERB ALPHA's card-specific C-REV-10.</w:t>
      </w:r>
    </w:p>
    <w:p>
      <w:pPr>
        <w:pStyle w:val="Heading3"/>
        <w:spacing w:after="100" w:before="200"/>
      </w:pPr>
      <w:r>
        <w:t xml:space="preserve">What Was Considered and Deliberately Not Adopted Platform-Wide</w:t>
      </w:r>
    </w:p>
    <w:p>
      <w:pPr>
        <w:spacing w:after="140"/>
      </w:pPr>
      <w:r>
        <w:t xml:space="preserve">REVERB v3.0 (Aug 30, PM) introduces an "Editorial Advisory" — a permanent, non-detachable evidence attachment shipped with every piece of content — and a Host Environment Colonization Guide keyed to THE COLONIZATION MANUAL's own field-guide format. Both are strong patterns, but both are scoped to REVERB's own warehoused-roster architecture (a single card that contains other cards' functions, rather than orchestrating separately seated cards the way the rest of the Media Council works). Promoting either to a platform-wide domain would be a materially larger design decision than this consolidation's mandate, which is to unscatter features already intended as platform-wide, not to platform-ize a specific card's architecture. Both are flagged here as candidate proposals for a future ATLAS 360 PLAN revision, consistent with how the AI Forensics Report's own recommendation became the Linguistic Detectability Pass two amendment cycles later — not adopted silently, not adopted by default.</w:t>
      </w:r>
    </w:p>
    <w:p>
      <w:pPr>
        <w:pStyle w:val="Heading3"/>
        <w:spacing w:after="100" w:before="200"/>
      </w:pPr>
      <w:r>
        <w:t xml:space="preserve">Carried Forward Unchanged</w:t>
      </w:r>
    </w:p>
    <w:p>
      <w:pPr>
        <w:spacing w:after="140"/>
      </w:pPr>
      <w:r>
        <w:t xml:space="preserve">Domains 1–12 keep their v3.0 content and are not restated in full here — see the Domain Reference Table below and the v3.0 Complete Rewrite document itself for their atomic prompts. Domain 13's original two prompts (KLARITY-001, KLARITY-002, SKRIBE-001–003) are unchanged; KLARITY-003 is additive.</w:t>
      </w:r>
    </w:p>
    <w:p>
      <w:pPr>
        <w:pStyle w:val="Heading1"/>
        <w:spacing w:after="180" w:before="380"/>
      </w:pPr>
      <w:r>
        <w:t xml:space="preserve">Part 3 · Domain Reference Table — Full 14-Domain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2400"/>
        <w:gridCol w:w="2260"/>
      </w:tblGrid>
      <w:tr>
        <w:trPr>
          <w:tblHeader/>
        </w:trPr>
        <w:tc>
          <w:tcPr>
            <w:tcW w:type="dxa" w:w="500"/>
            <w:shd w:fill="1F3864" w:val="clear"/>
          </w:tcPr>
          <w:p>
            <w:pPr>
              <w:jc w:val="left"/>
            </w:pPr>
            <w:r>
              <w:rPr>
                <w:b/>
                <w:bCs/>
              </w:rPr>
              <w:t xml:space="preserve">#</w:t>
            </w:r>
          </w:p>
        </w:tc>
        <w:tc>
          <w:tcPr>
            <w:tcW w:type="dxa" w:w="4200"/>
            <w:shd w:fill="1F3864" w:val="clear"/>
          </w:tcPr>
          <w:p>
            <w:pPr>
              <w:jc w:val="left"/>
            </w:pPr>
            <w:r>
              <w:rPr>
                <w:b/>
                <w:bCs/>
              </w:rPr>
              <w:t xml:space="preserve">Domain</w:t>
            </w:r>
          </w:p>
        </w:tc>
        <w:tc>
          <w:tcPr>
            <w:tcW w:type="dxa" w:w="2400"/>
            <w:shd w:fill="1F3864" w:val="clear"/>
          </w:tcPr>
          <w:p>
            <w:pPr>
              <w:jc w:val="left"/>
            </w:pPr>
            <w:r>
              <w:rPr>
                <w:b/>
                <w:bCs/>
              </w:rPr>
              <w:t xml:space="preserve">Status This Build</w:t>
            </w:r>
          </w:p>
        </w:tc>
        <w:tc>
          <w:tcPr>
            <w:tcW w:type="dxa" w:w="2260"/>
            <w:shd w:fill="1F3864" w:val="clear"/>
          </w:tcPr>
          <w:p>
            <w:pPr>
              <w:jc w:val="left"/>
            </w:pPr>
            <w:r>
              <w:rPr>
                <w:b/>
                <w:bCs/>
              </w:rPr>
              <w:t xml:space="preserve">Source</w:t>
            </w:r>
          </w:p>
        </w:tc>
      </w:tr>
      <w:tr>
        <w:tc>
          <w:tcPr>
            <w:tcW w:type="dxa" w:w="500"/>
          </w:tcPr>
          <w:p>
            <w:pPr>
              <w:jc w:val="left"/>
            </w:pPr>
            <w:r>
              <w:rPr>
                <w:b w:val="false"/>
                <w:bCs w:val="false"/>
              </w:rPr>
              <w:t xml:space="preserve">1</w:t>
            </w:r>
          </w:p>
        </w:tc>
        <w:tc>
          <w:tcPr>
            <w:tcW w:type="dxa" w:w="4200"/>
          </w:tcPr>
          <w:p>
            <w:pPr>
              <w:jc w:val="left"/>
            </w:pPr>
            <w:r>
              <w:rPr>
                <w:b w:val="false"/>
                <w:bCs w:val="false"/>
              </w:rPr>
              <w:t xml:space="preserve">Foundation &amp; Deployment Modes</w:t>
            </w:r>
          </w:p>
        </w:tc>
        <w:tc>
          <w:tcPr>
            <w:tcW w:type="dxa" w:w="2400"/>
          </w:tcPr>
          <w:p>
            <w:pPr>
              <w:jc w:val="left"/>
            </w:pPr>
            <w:r>
              <w:rPr>
                <w:b w:val="false"/>
                <w:bCs w:val="false"/>
              </w:rPr>
              <w:t xml:space="preserve">AMENDED (+FOUND-010)</w:t>
            </w:r>
          </w:p>
        </w:tc>
        <w:tc>
          <w:tcPr>
            <w:tcW w:type="dxa" w:w="2260"/>
          </w:tcPr>
          <w:p>
            <w:pPr>
              <w:jc w:val="left"/>
            </w:pPr>
            <w:r>
              <w:rPr>
                <w:b w:val="false"/>
                <w:bCs w:val="false"/>
              </w:rPr>
              <w:t xml:space="preserve">-002 · this build</w:t>
            </w:r>
          </w:p>
        </w:tc>
      </w:tr>
      <w:tr>
        <w:tc>
          <w:tcPr>
            <w:tcW w:type="dxa" w:w="500"/>
            <w:shd w:fill="F2F2F2" w:val="clear"/>
          </w:tcPr>
          <w:p>
            <w:pPr>
              <w:jc w:val="left"/>
            </w:pPr>
            <w:r>
              <w:rPr>
                <w:b w:val="false"/>
                <w:bCs w:val="false"/>
              </w:rPr>
              <w:t xml:space="preserve">2</w:t>
            </w:r>
          </w:p>
        </w:tc>
        <w:tc>
          <w:tcPr>
            <w:tcW w:type="dxa" w:w="4200"/>
            <w:shd w:fill="F2F2F2" w:val="clear"/>
          </w:tcPr>
          <w:p>
            <w:pPr>
              <w:jc w:val="left"/>
            </w:pPr>
            <w:r>
              <w:rPr>
                <w:b w:val="false"/>
                <w:bCs w:val="false"/>
              </w:rPr>
              <w:t xml:space="preserve">LLM-Agnostic Execution Layer</w:t>
            </w:r>
          </w:p>
        </w:tc>
        <w:tc>
          <w:tcPr>
            <w:tcW w:type="dxa" w:w="2400"/>
            <w:shd w:fill="F2F2F2" w:val="clear"/>
          </w:tcPr>
          <w:p>
            <w:pPr>
              <w:jc w:val="left"/>
            </w:pPr>
            <w:r>
              <w:rPr>
                <w:b w:val="false"/>
                <w:bCs w:val="false"/>
              </w:rPr>
              <w:t xml:space="preserve">Unchanged</w:t>
            </w:r>
          </w:p>
        </w:tc>
        <w:tc>
          <w:tcPr>
            <w:tcW w:type="dxa" w:w="2260"/>
            <w:shd w:fill="F2F2F2" w:val="clear"/>
          </w:tcPr>
          <w:p>
            <w:pPr>
              <w:jc w:val="left"/>
            </w:pPr>
            <w:r>
              <w:rPr>
                <w:b w:val="false"/>
                <w:bCs w:val="false"/>
              </w:rPr>
              <w:t xml:space="preserve">-002</w:t>
            </w:r>
          </w:p>
        </w:tc>
      </w:tr>
      <w:tr>
        <w:tc>
          <w:tcPr>
            <w:tcW w:type="dxa" w:w="500"/>
          </w:tcPr>
          <w:p>
            <w:pPr>
              <w:jc w:val="left"/>
            </w:pPr>
            <w:r>
              <w:rPr>
                <w:b w:val="false"/>
                <w:bCs w:val="false"/>
              </w:rPr>
              <w:t xml:space="preserve">3</w:t>
            </w:r>
          </w:p>
        </w:tc>
        <w:tc>
          <w:tcPr>
            <w:tcW w:type="dxa" w:w="4200"/>
          </w:tcPr>
          <w:p>
            <w:pPr>
              <w:jc w:val="left"/>
            </w:pPr>
            <w:r>
              <w:rPr>
                <w:b w:val="false"/>
                <w:bCs w:val="false"/>
              </w:rPr>
              <w:t xml:space="preserve">Outcome Intake &amp; SPC Selection</w:t>
            </w:r>
          </w:p>
        </w:tc>
        <w:tc>
          <w:tcPr>
            <w:tcW w:type="dxa" w:w="2400"/>
          </w:tcPr>
          <w:p>
            <w:pPr>
              <w:jc w:val="left"/>
            </w:pPr>
            <w:r>
              <w:rPr>
                <w:b w:val="false"/>
                <w:bCs w:val="false"/>
              </w:rPr>
              <w:t xml:space="preserve">Unchanged (native CB-001–009, dual-source)</w:t>
            </w:r>
          </w:p>
        </w:tc>
        <w:tc>
          <w:tcPr>
            <w:tcW w:type="dxa" w:w="2260"/>
          </w:tcPr>
          <w:p>
            <w:pPr>
              <w:jc w:val="left"/>
            </w:pPr>
            <w:r>
              <w:rPr>
                <w:b w:val="false"/>
                <w:bCs w:val="false"/>
              </w:rPr>
              <w:t xml:space="preserve">-002, -005</w:t>
            </w:r>
          </w:p>
        </w:tc>
      </w:tr>
      <w:tr>
        <w:tc>
          <w:tcPr>
            <w:tcW w:type="dxa" w:w="500"/>
            <w:shd w:fill="F2F2F2" w:val="clear"/>
          </w:tcPr>
          <w:p>
            <w:pPr>
              <w:jc w:val="left"/>
            </w:pPr>
            <w:r>
              <w:rPr>
                <w:b w:val="false"/>
                <w:bCs w:val="false"/>
              </w:rPr>
              <w:t xml:space="preserve">4</w:t>
            </w:r>
          </w:p>
        </w:tc>
        <w:tc>
          <w:tcPr>
            <w:tcW w:type="dxa" w:w="4200"/>
            <w:shd w:fill="F2F2F2" w:val="clear"/>
          </w:tcPr>
          <w:p>
            <w:pPr>
              <w:jc w:val="left"/>
            </w:pPr>
            <w:r>
              <w:rPr>
                <w:b w:val="false"/>
                <w:bCs w:val="false"/>
              </w:rPr>
              <w:t xml:space="preserve">Brief Capture &amp; Execution Modes</w:t>
            </w:r>
          </w:p>
        </w:tc>
        <w:tc>
          <w:tcPr>
            <w:tcW w:type="dxa" w:w="2400"/>
            <w:shd w:fill="F2F2F2" w:val="clear"/>
          </w:tcPr>
          <w:p>
            <w:pPr>
              <w:jc w:val="left"/>
            </w:pPr>
            <w:r>
              <w:rPr>
                <w:b w:val="false"/>
                <w:bCs w:val="false"/>
              </w:rPr>
              <w:t xml:space="preserve">Unchanged</w:t>
            </w:r>
          </w:p>
        </w:tc>
        <w:tc>
          <w:tcPr>
            <w:tcW w:type="dxa" w:w="2260"/>
            <w:shd w:fill="F2F2F2" w:val="clear"/>
          </w:tcPr>
          <w:p>
            <w:pPr>
              <w:jc w:val="left"/>
            </w:pPr>
            <w:r>
              <w:rPr>
                <w:b w:val="false"/>
                <w:bCs w:val="false"/>
              </w:rPr>
              <w:t xml:space="preserve">-002</w:t>
            </w:r>
          </w:p>
        </w:tc>
      </w:tr>
      <w:tr>
        <w:tc>
          <w:tcPr>
            <w:tcW w:type="dxa" w:w="500"/>
          </w:tcPr>
          <w:p>
            <w:pPr>
              <w:jc w:val="left"/>
            </w:pPr>
            <w:r>
              <w:rPr>
                <w:b w:val="false"/>
                <w:bCs w:val="false"/>
              </w:rPr>
              <w:t xml:space="preserve">5</w:t>
            </w:r>
          </w:p>
        </w:tc>
        <w:tc>
          <w:tcPr>
            <w:tcW w:type="dxa" w:w="4200"/>
          </w:tcPr>
          <w:p>
            <w:pPr>
              <w:jc w:val="left"/>
            </w:pPr>
            <w:r>
              <w:rPr>
                <w:b w:val="false"/>
                <w:bCs w:val="false"/>
              </w:rPr>
              <w:t xml:space="preserve">ARK Harness Process Integration / Marketplace</w:t>
            </w:r>
          </w:p>
        </w:tc>
        <w:tc>
          <w:tcPr>
            <w:tcW w:type="dxa" w:w="2400"/>
          </w:tcPr>
          <w:p>
            <w:pPr>
              <w:jc w:val="left"/>
            </w:pPr>
            <w:r>
              <w:rPr>
                <w:b w:val="false"/>
                <w:bCs w:val="false"/>
              </w:rPr>
              <w:t xml:space="preserve">Unchanged</w:t>
            </w:r>
          </w:p>
        </w:tc>
        <w:tc>
          <w:tcPr>
            <w:tcW w:type="dxa" w:w="2260"/>
          </w:tcPr>
          <w:p>
            <w:pPr>
              <w:jc w:val="left"/>
            </w:pPr>
            <w:r>
              <w:rPr>
                <w:b w:val="false"/>
                <w:bCs w:val="false"/>
              </w:rPr>
              <w:t xml:space="preserve">-002</w:t>
            </w:r>
          </w:p>
        </w:tc>
      </w:tr>
      <w:tr>
        <w:tc>
          <w:tcPr>
            <w:tcW w:type="dxa" w:w="500"/>
            <w:shd w:fill="F2F2F2" w:val="clear"/>
          </w:tcPr>
          <w:p>
            <w:pPr>
              <w:jc w:val="left"/>
            </w:pPr>
            <w:r>
              <w:rPr>
                <w:b w:val="false"/>
                <w:bCs w:val="false"/>
              </w:rPr>
              <w:t xml:space="preserve">6</w:t>
            </w:r>
          </w:p>
        </w:tc>
        <w:tc>
          <w:tcPr>
            <w:tcW w:type="dxa" w:w="4200"/>
            <w:shd w:fill="F2F2F2" w:val="clear"/>
          </w:tcPr>
          <w:p>
            <w:pPr>
              <w:jc w:val="left"/>
            </w:pPr>
            <w:r>
              <w:rPr>
                <w:b w:val="false"/>
                <w:bCs w:val="false"/>
              </w:rPr>
              <w:t xml:space="preserve">Creative Tool Connectors</w:t>
            </w:r>
          </w:p>
        </w:tc>
        <w:tc>
          <w:tcPr>
            <w:tcW w:type="dxa" w:w="2400"/>
            <w:shd w:fill="F2F2F2" w:val="clear"/>
          </w:tcPr>
          <w:p>
            <w:pPr>
              <w:jc w:val="left"/>
            </w:pPr>
            <w:r>
              <w:rPr>
                <w:b w:val="false"/>
                <w:bCs w:val="false"/>
              </w:rPr>
              <w:t xml:space="preserve">Unchanged (Figma + CONN-005 registry)</w:t>
            </w:r>
          </w:p>
        </w:tc>
        <w:tc>
          <w:tcPr>
            <w:tcW w:type="dxa" w:w="2260"/>
            <w:shd w:fill="F2F2F2" w:val="clear"/>
          </w:tcPr>
          <w:p>
            <w:pPr>
              <w:jc w:val="left"/>
            </w:pPr>
            <w:r>
              <w:rPr>
                <w:b w:val="false"/>
                <w:bCs w:val="false"/>
              </w:rPr>
              <w:t xml:space="preserve">-002, -007</w:t>
            </w:r>
          </w:p>
        </w:tc>
      </w:tr>
      <w:tr>
        <w:tc>
          <w:tcPr>
            <w:tcW w:type="dxa" w:w="500"/>
          </w:tcPr>
          <w:p>
            <w:pPr>
              <w:jc w:val="left"/>
            </w:pPr>
            <w:r>
              <w:rPr>
                <w:b w:val="false"/>
                <w:bCs w:val="false"/>
              </w:rPr>
              <w:t xml:space="preserve">7</w:t>
            </w:r>
          </w:p>
        </w:tc>
        <w:tc>
          <w:tcPr>
            <w:tcW w:type="dxa" w:w="4200"/>
          </w:tcPr>
          <w:p>
            <w:pPr>
              <w:jc w:val="left"/>
            </w:pPr>
            <w:r>
              <w:rPr>
                <w:b w:val="false"/>
                <w:bCs w:val="false"/>
              </w:rPr>
              <w:t xml:space="preserve">Distribution &amp; Publishing Connectors</w:t>
            </w:r>
          </w:p>
        </w:tc>
        <w:tc>
          <w:tcPr>
            <w:tcW w:type="dxa" w:w="2400"/>
          </w:tcPr>
          <w:p>
            <w:pPr>
              <w:jc w:val="left"/>
            </w:pPr>
            <w:r>
              <w:rPr>
                <w:b w:val="false"/>
                <w:bCs w:val="false"/>
              </w:rPr>
              <w:t xml:space="preserve">Unchanged</w:t>
            </w:r>
          </w:p>
        </w:tc>
        <w:tc>
          <w:tcPr>
            <w:tcW w:type="dxa" w:w="2260"/>
          </w:tcPr>
          <w:p>
            <w:pPr>
              <w:jc w:val="left"/>
            </w:pPr>
            <w:r>
              <w:rPr>
                <w:b w:val="false"/>
                <w:bCs w:val="false"/>
              </w:rPr>
              <w:t xml:space="preserve">-002</w:t>
            </w:r>
          </w:p>
        </w:tc>
      </w:tr>
      <w:tr>
        <w:tc>
          <w:tcPr>
            <w:tcW w:type="dxa" w:w="500"/>
            <w:shd w:fill="F2F2F2" w:val="clear"/>
          </w:tcPr>
          <w:p>
            <w:pPr>
              <w:jc w:val="left"/>
            </w:pPr>
            <w:r>
              <w:rPr>
                <w:b w:val="false"/>
                <w:bCs w:val="false"/>
              </w:rPr>
              <w:t xml:space="preserve">8</w:t>
            </w:r>
          </w:p>
        </w:tc>
        <w:tc>
          <w:tcPr>
            <w:tcW w:type="dxa" w:w="4200"/>
            <w:shd w:fill="F2F2F2" w:val="clear"/>
          </w:tcPr>
          <w:p>
            <w:pPr>
              <w:jc w:val="left"/>
            </w:pPr>
            <w:r>
              <w:rPr>
                <w:b w:val="false"/>
                <w:bCs w:val="false"/>
              </w:rPr>
              <w:t xml:space="preserve">Media Deck</w:t>
            </w:r>
          </w:p>
        </w:tc>
        <w:tc>
          <w:tcPr>
            <w:tcW w:type="dxa" w:w="2400"/>
            <w:shd w:fill="F2F2F2" w:val="clear"/>
          </w:tcPr>
          <w:p>
            <w:pPr>
              <w:jc w:val="left"/>
            </w:pPr>
            <w:r>
              <w:rPr>
                <w:b w:val="false"/>
                <w:bCs w:val="false"/>
              </w:rPr>
              <w:t xml:space="preserve">Unchanged (native SHAYMXT MC-3)</w:t>
            </w:r>
          </w:p>
        </w:tc>
        <w:tc>
          <w:tcPr>
            <w:tcW w:type="dxa" w:w="2260"/>
            <w:shd w:fill="F2F2F2" w:val="clear"/>
          </w:tcPr>
          <w:p>
            <w:pPr>
              <w:jc w:val="left"/>
            </w:pPr>
            <w:r>
              <w:rPr>
                <w:b w:val="false"/>
                <w:bCs w:val="false"/>
              </w:rPr>
              <w:t xml:space="preserve">-002, -005</w:t>
            </w:r>
          </w:p>
        </w:tc>
      </w:tr>
      <w:tr>
        <w:tc>
          <w:tcPr>
            <w:tcW w:type="dxa" w:w="500"/>
          </w:tcPr>
          <w:p>
            <w:pPr>
              <w:jc w:val="left"/>
            </w:pPr>
            <w:r>
              <w:rPr>
                <w:b w:val="false"/>
                <w:bCs w:val="false"/>
              </w:rPr>
              <w:t xml:space="preserve">9</w:t>
            </w:r>
          </w:p>
        </w:tc>
        <w:tc>
          <w:tcPr>
            <w:tcW w:type="dxa" w:w="4200"/>
          </w:tcPr>
          <w:p>
            <w:pPr>
              <w:jc w:val="left"/>
            </w:pPr>
            <w:r>
              <w:rPr>
                <w:b w:val="false"/>
                <w:bCs w:val="false"/>
              </w:rPr>
              <w:t xml:space="preserve">Governance v2</w:t>
            </w:r>
          </w:p>
        </w:tc>
        <w:tc>
          <w:tcPr>
            <w:tcW w:type="dxa" w:w="2400"/>
          </w:tcPr>
          <w:p>
            <w:pPr>
              <w:jc w:val="left"/>
            </w:pPr>
            <w:r>
              <w:rPr>
                <w:b w:val="false"/>
                <w:bCs w:val="false"/>
              </w:rPr>
              <w:t xml:space="preserve">Unchanged (native LDP-001–009)</w:t>
            </w:r>
          </w:p>
        </w:tc>
        <w:tc>
          <w:tcPr>
            <w:tcW w:type="dxa" w:w="2260"/>
          </w:tcPr>
          <w:p>
            <w:pPr>
              <w:jc w:val="left"/>
            </w:pPr>
            <w:r>
              <w:rPr>
                <w:b w:val="false"/>
                <w:bCs w:val="false"/>
              </w:rPr>
              <w:t xml:space="preserve">-002, -006</w:t>
            </w:r>
          </w:p>
        </w:tc>
      </w:tr>
      <w:tr>
        <w:tc>
          <w:tcPr>
            <w:tcW w:type="dxa" w:w="500"/>
            <w:shd w:fill="F2F2F2" w:val="clear"/>
          </w:tcPr>
          <w:p>
            <w:pPr>
              <w:jc w:val="left"/>
            </w:pPr>
            <w:r>
              <w:rPr>
                <w:b w:val="false"/>
                <w:bCs w:val="false"/>
              </w:rPr>
              <w:t xml:space="preserve">10</w:t>
            </w:r>
          </w:p>
        </w:tc>
        <w:tc>
          <w:tcPr>
            <w:tcW w:type="dxa" w:w="4200"/>
            <w:shd w:fill="F2F2F2" w:val="clear"/>
          </w:tcPr>
          <w:p>
            <w:pPr>
              <w:jc w:val="left"/>
            </w:pPr>
            <w:r>
              <w:rPr>
                <w:b w:val="false"/>
                <w:bCs w:val="false"/>
              </w:rPr>
              <w:t xml:space="preserve">Delivery, Billing &amp; Telemetry</w:t>
            </w:r>
          </w:p>
        </w:tc>
        <w:tc>
          <w:tcPr>
            <w:tcW w:type="dxa" w:w="2400"/>
            <w:shd w:fill="F2F2F2" w:val="clear"/>
          </w:tcPr>
          <w:p>
            <w:pPr>
              <w:jc w:val="left"/>
            </w:pPr>
            <w:r>
              <w:rPr>
                <w:b w:val="false"/>
                <w:bCs w:val="false"/>
              </w:rPr>
              <w:t xml:space="preserve">Unchanged</w:t>
            </w:r>
          </w:p>
        </w:tc>
        <w:tc>
          <w:tcPr>
            <w:tcW w:type="dxa" w:w="2260"/>
            <w:shd w:fill="F2F2F2" w:val="clear"/>
          </w:tcPr>
          <w:p>
            <w:pPr>
              <w:jc w:val="left"/>
            </w:pPr>
            <w:r>
              <w:rPr>
                <w:b w:val="false"/>
                <w:bCs w:val="false"/>
              </w:rPr>
              <w:t xml:space="preserve">-002</w:t>
            </w:r>
          </w:p>
        </w:tc>
      </w:tr>
      <w:tr>
        <w:tc>
          <w:tcPr>
            <w:tcW w:type="dxa" w:w="500"/>
          </w:tcPr>
          <w:p>
            <w:pPr>
              <w:jc w:val="left"/>
            </w:pPr>
            <w:r>
              <w:rPr>
                <w:b w:val="false"/>
                <w:bCs w:val="false"/>
              </w:rPr>
              <w:t xml:space="preserve">11</w:t>
            </w:r>
          </w:p>
        </w:tc>
        <w:tc>
          <w:tcPr>
            <w:tcW w:type="dxa" w:w="4200"/>
          </w:tcPr>
          <w:p>
            <w:pPr>
              <w:jc w:val="left"/>
            </w:pPr>
            <w:r>
              <w:rPr>
                <w:b w:val="false"/>
                <w:bCs w:val="false"/>
              </w:rPr>
              <w:t xml:space="preserve">Guardrails v2</w:t>
            </w:r>
          </w:p>
        </w:tc>
        <w:tc>
          <w:tcPr>
            <w:tcW w:type="dxa" w:w="2400"/>
          </w:tcPr>
          <w:p>
            <w:pPr>
              <w:jc w:val="left"/>
            </w:pPr>
            <w:r>
              <w:rPr>
                <w:b w:val="false"/>
                <w:bCs w:val="false"/>
              </w:rPr>
              <w:t xml:space="preserve">Unchanged</w:t>
            </w:r>
          </w:p>
        </w:tc>
        <w:tc>
          <w:tcPr>
            <w:tcW w:type="dxa" w:w="2260"/>
          </w:tcPr>
          <w:p>
            <w:pPr>
              <w:jc w:val="left"/>
            </w:pPr>
            <w:r>
              <w:rPr>
                <w:b w:val="false"/>
                <w:bCs w:val="false"/>
              </w:rPr>
              <w:t xml:space="preserve">-002</w:t>
            </w:r>
          </w:p>
        </w:tc>
      </w:tr>
      <w:tr>
        <w:tc>
          <w:tcPr>
            <w:tcW w:type="dxa" w:w="500"/>
            <w:shd w:fill="F2F2F2" w:val="clear"/>
          </w:tcPr>
          <w:p>
            <w:pPr>
              <w:jc w:val="left"/>
            </w:pPr>
            <w:r>
              <w:rPr>
                <w:b w:val="false"/>
                <w:bCs w:val="false"/>
              </w:rPr>
              <w:t xml:space="preserve">12</w:t>
            </w:r>
          </w:p>
        </w:tc>
        <w:tc>
          <w:tcPr>
            <w:tcW w:type="dxa" w:w="4200"/>
            <w:shd w:fill="F2F2F2" w:val="clear"/>
          </w:tcPr>
          <w:p>
            <w:pPr>
              <w:jc w:val="left"/>
            </w:pPr>
            <w:r>
              <w:rPr>
                <w:b w:val="false"/>
                <w:bCs w:val="false"/>
              </w:rPr>
              <w:t xml:space="preserve">Voice Council (TITAN-corrected)</w:t>
            </w:r>
          </w:p>
        </w:tc>
        <w:tc>
          <w:tcPr>
            <w:tcW w:type="dxa" w:w="2400"/>
            <w:shd w:fill="F2F2F2" w:val="clear"/>
          </w:tcPr>
          <w:p>
            <w:pPr>
              <w:jc w:val="left"/>
            </w:pPr>
            <w:r>
              <w:rPr>
                <w:b w:val="false"/>
                <w:bCs w:val="false"/>
              </w:rPr>
              <w:t xml:space="preserve">Unchanged</w:t>
            </w:r>
          </w:p>
        </w:tc>
        <w:tc>
          <w:tcPr>
            <w:tcW w:type="dxa" w:w="2260"/>
            <w:shd w:fill="F2F2F2" w:val="clear"/>
          </w:tcPr>
          <w:p>
            <w:pPr>
              <w:jc w:val="left"/>
            </w:pPr>
            <w:r>
              <w:rPr>
                <w:b w:val="false"/>
                <w:bCs w:val="false"/>
              </w:rPr>
              <w:t xml:space="preserve">-004 v1.1, -007</w:t>
            </w:r>
          </w:p>
        </w:tc>
      </w:tr>
      <w:tr>
        <w:tc>
          <w:tcPr>
            <w:tcW w:type="dxa" w:w="500"/>
          </w:tcPr>
          <w:p>
            <w:pPr>
              <w:jc w:val="left"/>
            </w:pPr>
            <w:r>
              <w:rPr>
                <w:b w:val="false"/>
                <w:bCs w:val="false"/>
              </w:rPr>
              <w:t xml:space="preserve">13</w:t>
            </w:r>
          </w:p>
        </w:tc>
        <w:tc>
          <w:tcPr>
            <w:tcW w:type="dxa" w:w="4200"/>
          </w:tcPr>
          <w:p>
            <w:pPr>
              <w:jc w:val="left"/>
            </w:pPr>
            <w:r>
              <w:rPr>
                <w:b w:val="false"/>
                <w:bCs w:val="false"/>
              </w:rPr>
              <w:t xml:space="preserve">Clarity &amp; Universal Packaging</w:t>
            </w:r>
          </w:p>
        </w:tc>
        <w:tc>
          <w:tcPr>
            <w:tcW w:type="dxa" w:w="2400"/>
          </w:tcPr>
          <w:p>
            <w:pPr>
              <w:jc w:val="left"/>
            </w:pPr>
            <w:r>
              <w:rPr>
                <w:b w:val="false"/>
                <w:bCs w:val="false"/>
              </w:rPr>
              <w:t xml:space="preserve">AMENDED (+KLARITY-003)</w:t>
            </w:r>
          </w:p>
        </w:tc>
        <w:tc>
          <w:tcPr>
            <w:tcW w:type="dxa" w:w="2260"/>
          </w:tcPr>
          <w:p>
            <w:pPr>
              <w:jc w:val="left"/>
            </w:pPr>
            <w:r>
              <w:rPr>
                <w:b w:val="false"/>
                <w:bCs w:val="false"/>
              </w:rPr>
              <w:t xml:space="preserve">-007 · this build</w:t>
            </w:r>
          </w:p>
        </w:tc>
      </w:tr>
      <w:tr>
        <w:tc>
          <w:tcPr>
            <w:tcW w:type="dxa" w:w="500"/>
            <w:shd w:fill="F2F2F2" w:val="clear"/>
          </w:tcPr>
          <w:p>
            <w:pPr>
              <w:jc w:val="left"/>
            </w:pPr>
            <w:r>
              <w:rPr>
                <w:b w:val="false"/>
                <w:bCs w:val="false"/>
              </w:rPr>
              <w:t xml:space="preserve">14</w:t>
            </w:r>
          </w:p>
        </w:tc>
        <w:tc>
          <w:tcPr>
            <w:tcW w:type="dxa" w:w="4200"/>
            <w:shd w:fill="F2F2F2" w:val="clear"/>
          </w:tcPr>
          <w:p>
            <w:pPr>
              <w:jc w:val="left"/>
            </w:pPr>
            <w:r>
              <w:rPr>
                <w:b w:val="false"/>
                <w:bCs w:val="false"/>
              </w:rPr>
              <w:t xml:space="preserve">SPC Cheat Sheet &amp; Marketplace Discovery Standard</w:t>
            </w:r>
          </w:p>
        </w:tc>
        <w:tc>
          <w:tcPr>
            <w:tcW w:type="dxa" w:w="2400"/>
            <w:shd w:fill="F2F2F2" w:val="clear"/>
          </w:tcPr>
          <w:p>
            <w:pPr>
              <w:jc w:val="left"/>
            </w:pPr>
            <w:r>
              <w:rPr>
                <w:b w:val="false"/>
                <w:bCs w:val="false"/>
              </w:rPr>
              <w:t xml:space="preserve">NEW</w:t>
            </w:r>
          </w:p>
        </w:tc>
        <w:tc>
          <w:tcPr>
            <w:tcW w:type="dxa" w:w="2260"/>
            <w:shd w:fill="F2F2F2" w:val="clear"/>
          </w:tcPr>
          <w:p>
            <w:pPr>
              <w:jc w:val="left"/>
            </w:pPr>
            <w:r>
              <w:rPr>
                <w:b w:val="false"/>
                <w:bCs w:val="false"/>
              </w:rPr>
              <w:t xml:space="preserve">REVERB ALPHA v2.0 §7, generalized · this build</w:t>
            </w:r>
          </w:p>
        </w:tc>
      </w:tr>
    </w:tbl>
    <w:p>
      <w:pPr>
        <w:pStyle w:val="Heading1"/>
        <w:spacing w:after="180" w:before="380"/>
      </w:pPr>
      <w:r>
        <w:t xml:space="preserve">Part 4 · New and Amended Domains — Atomic Prompt Worksheet</w:t>
      </w:r>
    </w:p>
    <w:p>
      <w:pPr>
        <w:spacing w:after="140"/>
      </w:pPr>
      <w:r>
        <w:t xml:space="preserve">All entries below satisfy the 5-condition Atomic Prompt Standard (ROLE / INSTRUCTION / CONSTRAINT / FORMAT / DATA). Domains not touched by this build are unchanged and not restated.</w:t>
      </w:r>
    </w:p>
    <w:p>
      <w:pPr>
        <w:pStyle w:val="Heading2"/>
        <w:spacing w:after="130" w:before="260"/>
      </w:pPr>
      <w:r>
        <w:t xml:space="preserve">Domain 14 — SPC Cheat Sheet &amp; Marketplace Discovery Standard (NEW)</w:t>
      </w:r>
    </w:p>
    <w:p>
      <w:pPr>
        <w:spacing w:after="60" w:before="160"/>
      </w:pPr>
      <w:r>
        <w:rPr>
          <w:b/>
          <w:bCs/>
        </w:rPr>
        <w:t xml:space="preserve">CHEAT-001 </w:t>
      </w:r>
      <w:r>
        <w:rPr>
          <w:b/>
          <w:bCs/>
        </w:rPr>
        <w:t xml:space="preserve">🔴 P0 — SPC Cheat Sheet — Platform-Wide Standard Section</w:t>
      </w:r>
    </w:p>
    <w:p>
      <w:pPr>
        <w:spacing w:after="40"/>
      </w:pPr>
      <w:r>
        <w:rPr>
          <w:i/>
          <w:iCs/>
          <w:sz w:val="20"/>
          <w:szCs w:val="20"/>
        </w:rPr>
        <w:t xml:space="preserve">SPHINX ENGINE × ATLAS 360 PLAN · Deps: INTK2-002, SKRIBE-001</w:t>
      </w:r>
    </w:p>
    <w:p>
      <w:pPr>
        <w:spacing w:after="140"/>
      </w:pPr>
      <w:r>
        <w:t xml:space="preserve">ROLE: Marketplace-discovery engineer generalizing a per-card pattern into a platform publication requirement.</w:t>
      </w:r>
    </w:p>
    <w:p>
      <w:pPr>
        <w:spacing w:after="140"/>
      </w:pPr>
      <w:r>
        <w:t xml:space="preserve">INSTRUCTION: Every SPC card in the platform catalogue — internal or SPHINX Marketplace-listed — now carries a standard Cheat Sheet section at publication: a General Definition (mission, skill set, use cases, third-party framing), a General Production Process (numbered usage steps), and Environment-Specific Usage Notes across the ecosystem's ten named development environments (Claude Skills, Claude Code, Codex+Sites+GPT, Cursor, Replit, Antigravity, Google Gemini Studio, Microsoft Azure Co-Pilot Studio, LangChain, GitHub Co-Pilot).</w:t>
      </w:r>
    </w:p>
    <w:p>
      <w:pPr>
        <w:spacing w:after="140"/>
      </w:pPr>
      <w:r>
        <w:t xml:space="preserve">CONSTRAINT: C-117: this generalizes REVERB ALPHA v2.0 §7's card-level pattern into a platform requirement — not a new capability invented for this build, an existing pattern promoted to a domain.</w:t>
      </w:r>
    </w:p>
    <w:p>
      <w:pPr>
        <w:spacing w:after="140"/>
      </w:pPr>
      <w:r>
        <w:t xml:space="preserve">FORMAT: New spc_library.cheat_sheet_published boolean + linked cheat_sheet document per card.</w:t>
      </w:r>
    </w:p>
    <w:p>
      <w:pPr>
        <w:spacing w:after="140"/>
      </w:pPr>
      <w:r>
        <w:t xml:space="preserve">DATA: REVERB ALPHA v2.0 §7 and REVERB v3.0 §6 both already conform to this shape; they are the first two compliant instances, not the origin of a new requirement imposed on them retroactively.</w:t>
      </w:r>
    </w:p>
    <w:p>
      <w:pPr>
        <w:spacing w:after="60" w:before="160"/>
      </w:pPr>
      <w:r>
        <w:rPr>
          <w:b/>
          <w:bCs/>
        </w:rPr>
        <w:t xml:space="preserve">CHEAT-002 </w:t>
      </w:r>
      <w:r>
        <w:rPr>
          <w:b/>
          <w:bCs/>
        </w:rPr>
        <w:t xml:space="preserve">🟡 P1 — SPHINX Ownership of Cheat Sheet Publishing &amp; Semantic Tagging</w:t>
      </w:r>
    </w:p>
    <w:p>
      <w:pPr>
        <w:spacing w:after="40"/>
      </w:pPr>
      <w:r>
        <w:rPr>
          <w:i/>
          <w:iCs/>
          <w:sz w:val="20"/>
          <w:szCs w:val="20"/>
        </w:rPr>
        <w:t xml:space="preserve">SPHINX ENGINE · Deps: CHEAT-001</w:t>
      </w:r>
    </w:p>
    <w:p>
      <w:pPr>
        <w:spacing w:after="140"/>
      </w:pPr>
      <w:r>
        <w:t xml:space="preserve">ROLE: Catalogue engineer assigning a clear, single owner for a new platform-wide publication step.</w:t>
      </w:r>
    </w:p>
    <w:p>
      <w:pPr>
        <w:spacing w:after="140"/>
      </w:pPr>
      <w:r>
        <w:t xml:space="preserve">INSTRUCTION: Formalize SPHINX ENGINE — already the established marketplace/catalogue engine per Domain 3 and Domain 5 of the v2.0 base PDD — as sole owner of Cheat Sheet publishing and semantic tagging platform-wide.</w:t>
      </w:r>
    </w:p>
    <w:p>
      <w:pPr>
        <w:spacing w:after="140"/>
      </w:pPr>
      <w:r>
        <w:t xml:space="preserve">CONSTRAINT: C-118: no PDD-authoring or card-rewrite capability is implied by this ownership. That boundary — disclosed in the -007 "TITAN" Honesty Gate note and the REVERB ALPHA "SPHINX" Honesty Gate note — is unchanged by this domain.</w:t>
      </w:r>
    </w:p>
    <w:p>
      <w:pPr>
        <w:spacing w:after="140"/>
      </w:pPr>
      <w:r>
        <w:t xml:space="preserve">FORMAT: cheat_sheet.published_by = 'sphinx_engine' on every card record.</w:t>
      </w:r>
    </w:p>
    <w:p>
      <w:pPr>
        <w:spacing w:after="140"/>
      </w:pPr>
      <w:r>
        <w:t xml:space="preserve">DATA: Directly extends SPHINX's real, already-established role rather than assigning it a new one.</w:t>
      </w:r>
    </w:p>
    <w:p>
      <w:pPr>
        <w:spacing w:after="60" w:before="160"/>
      </w:pPr>
      <w:r>
        <w:rPr>
          <w:b/>
          <w:bCs/>
        </w:rPr>
        <w:t xml:space="preserve">CHEAT-003 </w:t>
      </w:r>
      <w:r>
        <w:rPr>
          <w:b/>
          <w:bCs/>
        </w:rPr>
        <w:t xml:space="preserve">🟢 P2 — Third-Party Definition Population Rule</w:t>
      </w:r>
    </w:p>
    <w:p>
      <w:pPr>
        <w:spacing w:after="40"/>
      </w:pPr>
      <w:r>
        <w:rPr>
          <w:i/>
          <w:iCs/>
          <w:sz w:val="20"/>
          <w:szCs w:val="20"/>
        </w:rPr>
        <w:t xml:space="preserve">SPHINX ENGINE · Deps: CHEAT-001</w:t>
      </w:r>
    </w:p>
    <w:p>
      <w:pPr>
        <w:spacing w:after="140"/>
      </w:pPr>
      <w:r>
        <w:t xml:space="preserve">ROLE: Catalogue engineer preventing speculative marketplace claims.</w:t>
      </w:r>
    </w:p>
    <w:p>
      <w:pPr>
        <w:spacing w:after="140"/>
      </w:pPr>
      <w:r>
        <w:t xml:space="preserve">INSTRUCTION: A card's Cheat Sheet "Third-Party Definitions" subsection stays empty until that card's actual first Marketplace listing.</w:t>
      </w:r>
    </w:p>
    <w:p>
      <w:pPr>
        <w:spacing w:after="140"/>
      </w:pPr>
      <w:r>
        <w:t xml:space="preserve">CONSTRAINT: C-119: matches REVERB ALPHA's own disclosed practice for this exact subsection ("None exist... populated at first Marketplace listing, not before") — codified platform-wide rather than left to each card author's discretion.</w:t>
      </w:r>
    </w:p>
    <w:p>
      <w:pPr>
        <w:spacing w:after="140"/>
      </w:pPr>
      <w:r>
        <w:t xml:space="preserve">FORMAT: cheat_sheet.third_party_definitions defaults to null, not an empty-but-present placeholder.</w:t>
      </w:r>
    </w:p>
    <w:p>
      <w:pPr>
        <w:spacing w:after="60" w:before="160"/>
      </w:pPr>
      <w:r>
        <w:rPr>
          <w:b/>
          <w:bCs/>
        </w:rPr>
        <w:t xml:space="preserve">CHEAT-004 </w:t>
      </w:r>
      <w:r>
        <w:rPr>
          <w:b/>
          <w:bCs/>
        </w:rPr>
        <w:t xml:space="preserve">🟡 P1 — Environment Sketches Are Sketches, Not Integration Claims</w:t>
      </w:r>
    </w:p>
    <w:p>
      <w:pPr>
        <w:spacing w:after="40"/>
      </w:pPr>
      <w:r>
        <w:rPr>
          <w:i/>
          <w:iCs/>
          <w:sz w:val="20"/>
          <w:szCs w:val="20"/>
        </w:rPr>
        <w:t xml:space="preserve">SPHINX ENGINE × ATLAS 360 PLAN · Deps: CHEAT-001</w:t>
      </w:r>
    </w:p>
    <w:p>
      <w:pPr>
        <w:spacing w:after="140"/>
      </w:pPr>
      <w:r>
        <w:t xml:space="preserve">ROLE: Governance engineer preventing a documentation format from drifting into an unverified capability claim.</w:t>
      </w:r>
    </w:p>
    <w:p>
      <w:pPr>
        <w:spacing w:after="140"/>
      </w:pPr>
      <w:r>
        <w:t xml:space="preserve">INSTRUCTION: Every environment-specific usage note is explicitly labeled a sketch of how a card's phase or prompt contracts would be implemented if built in that environment — never a claim that the integration exists today, unless it verifiably does.</w:t>
      </w:r>
    </w:p>
    <w:p>
      <w:pPr>
        <w:spacing w:after="140"/>
      </w:pPr>
      <w:r>
        <w:t xml:space="preserve">CONSTRAINT: C-120: directly inherits the disclosure pattern REVERB ALPHA used for its own ten environment sketches ("a sketch... not a description of an existing integration. None of these exist today.") — that same disclaimer is now a platform requirement, not one card's editorial choice.</w:t>
      </w:r>
    </w:p>
    <w:p>
      <w:pPr>
        <w:spacing w:after="140"/>
      </w:pPr>
      <w:r>
        <w:t xml:space="preserve">FORMAT: cheat_sheet.environment_notes[].status enum: {'sketch','verified_integration'}, defaulting to 'sketch'.</w:t>
      </w:r>
    </w:p>
    <w:p>
      <w:pPr>
        <w:spacing w:after="60" w:before="160"/>
      </w:pPr>
      <w:r>
        <w:rPr>
          <w:b/>
          <w:bCs/>
        </w:rPr>
        <w:t xml:space="preserve">CHEAT-005 </w:t>
      </w:r>
      <w:r>
        <w:rPr>
          <w:b/>
          <w:bCs/>
        </w:rPr>
        <w:t xml:space="preserve">🟢 P2 — Retroactive Application to Existing Catalogue</w:t>
      </w:r>
    </w:p>
    <w:p>
      <w:pPr>
        <w:spacing w:after="40"/>
      </w:pPr>
      <w:r>
        <w:rPr>
          <w:i/>
          <w:iCs/>
          <w:sz w:val="20"/>
          <w:szCs w:val="20"/>
        </w:rPr>
        <w:t xml:space="preserve">ATLAS 360 PLAN × SPHINX ENGINE · Deps: CHEAT-001–004</w:t>
      </w:r>
    </w:p>
    <w:p>
      <w:pPr>
        <w:spacing w:after="140"/>
      </w:pPr>
      <w:r>
        <w:t xml:space="preserve">ROLE: Rollout engineer sequencing adoption without implying instant non-compliance.</w:t>
      </w:r>
    </w:p>
    <w:p>
      <w:pPr>
        <w:spacing w:after="140"/>
      </w:pPr>
      <w:r>
        <w:t xml:space="preserve">INSTRUCTION: Existing cards published before this domain shipped — REVERB, SHAYMXT, GRIOT SI, LUCI ULTRA SI, and the rest of the catalogue — are not required to retrofit a Cheat Sheet immediately.</w:t>
      </w:r>
    </w:p>
    <w:p>
      <w:pPr>
        <w:spacing w:after="140"/>
      </w:pPr>
      <w:r>
        <w:t xml:space="preserve">CONSTRAINT: C-121: the requirement applies at next publication or revision. This avoids implying the entire existing catalogue is out of compliance the moment Domain 14 ships.</w:t>
      </w:r>
    </w:p>
    <w:p>
      <w:pPr>
        <w:spacing w:after="140"/>
      </w:pPr>
      <w:r>
        <w:t xml:space="preserve">FORMAT: cheat_sheet_published defaults false on legacy records without triggering a compliance flag; flips true at next card revision.</w:t>
      </w:r>
    </w:p>
    <w:p>
      <w:pPr>
        <w:pStyle w:val="Heading2"/>
        <w:spacing w:after="130" w:before="260"/>
      </w:pPr>
      <w:r>
        <w:t xml:space="preserve">Domain 1 — Foundation &amp; Deployment Modes (AMENDED)</w:t>
      </w:r>
    </w:p>
    <w:p>
      <w:pPr>
        <w:spacing w:after="60" w:before="160"/>
      </w:pPr>
      <w:r>
        <w:rPr>
          <w:b/>
          <w:bCs/>
        </w:rPr>
        <w:t xml:space="preserve">FOUND-010 </w:t>
      </w:r>
      <w:r>
        <w:rPr>
          <w:b/>
          <w:bCs/>
        </w:rPr>
        <w:t xml:space="preserve">🟡 P1 — SPC Dev Kit Registry (Formalized)</w:t>
      </w:r>
    </w:p>
    <w:p>
      <w:pPr>
        <w:spacing w:after="40"/>
      </w:pPr>
      <w:r>
        <w:rPr>
          <w:i/>
          <w:iCs/>
          <w:sz w:val="20"/>
          <w:szCs w:val="20"/>
        </w:rPr>
        <w:t xml:space="preserve">ATLAS 360 PLAN · Deps: FOUND2-001</w:t>
      </w:r>
    </w:p>
    <w:p>
      <w:pPr>
        <w:spacing w:after="140"/>
      </w:pPr>
      <w:r>
        <w:t xml:space="preserve">ROLE: Platform registry engineer naming a pattern that was previously known only from a single card's Synergy Map.</w:t>
      </w:r>
    </w:p>
    <w:p>
      <w:pPr>
        <w:spacing w:after="140"/>
      </w:pPr>
      <w:r>
        <w:t xml:space="preserve">INSTRUCTION: Register the six-card SPC Dev Kit baseline — ATLAS 360 PLAN, SPARTAN, CODE DJ, BUGMXT, CODON, CORDON — as a named platform concept in Domain 1. Define it as the standing mechanism by which any Pre-Build PDD or SPC in this ecosystem becomes software: SPARTAN scopes the MVP, CODE DJ builds it, CODON aligns intake against any existing MVP rather than rebuilding it, CORDON sequences build order, BUGMXT debugs the result.</w:t>
      </w:r>
    </w:p>
    <w:p>
      <w:pPr>
        <w:spacing w:after="140"/>
      </w:pPr>
      <w:r>
        <w:t xml:space="preserve">CONSTRAINT: C-122: registering this baseline does not itself execute it against any pending specification, including this v4.0 document's own new domains. Domain 14 and the Domain 13 amendment below are Pre-Build like everything else in this lineage.</w:t>
      </w:r>
    </w:p>
    <w:p>
      <w:pPr>
        <w:spacing w:after="140"/>
      </w:pPr>
      <w:r>
        <w:t xml:space="preserve">FORMAT: New spc_dev_kit registry object, referenced from spc_library entries flagged pre_build: true.</w:t>
      </w:r>
    </w:p>
    <w:p>
      <w:pPr>
        <w:spacing w:after="140"/>
      </w:pPr>
      <w:r>
        <w:t xml:space="preserve">DATA: Previously stated only in REVERB ALPHA v2.0 §5 ("The SPC Dev Kit (new, named)"); this domain is where a platform-wide concept belongs rather than a single downstream card's Synergy Map.</w:t>
      </w:r>
    </w:p>
    <w:p>
      <w:pPr>
        <w:pStyle w:val="Heading2"/>
        <w:spacing w:after="130" w:before="260"/>
      </w:pPr>
      <w:r>
        <w:t xml:space="preserve">Domain 13 — Clarity &amp; Universal Packaging (AMENDED)</w:t>
      </w:r>
    </w:p>
    <w:p>
      <w:pPr>
        <w:spacing w:after="60" w:before="160"/>
      </w:pPr>
      <w:r>
        <w:rPr>
          <w:b/>
          <w:bCs/>
        </w:rPr>
        <w:t xml:space="preserve">KLARITY-003 </w:t>
      </w:r>
      <w:r>
        <w:rPr>
          <w:b/>
          <w:bCs/>
        </w:rPr>
        <w:t xml:space="preserve">🔴 P0 — Three-Axis Score Separation — Platform-Wide</w:t>
      </w:r>
    </w:p>
    <w:p>
      <w:pPr>
        <w:spacing w:after="40"/>
      </w:pPr>
      <w:r>
        <w:rPr>
          <w:i/>
          <w:iCs/>
          <w:sz w:val="20"/>
          <w:szCs w:val="20"/>
        </w:rPr>
        <w:t xml:space="preserve">KLARITY SI × SOLVA ULTRA SI × ATLAS 360 PLAN · Deps: KLARITY-001, LDP-001, C-108</w:t>
      </w:r>
    </w:p>
    <w:p>
      <w:pPr>
        <w:spacing w:after="140"/>
      </w:pPr>
      <w:r>
        <w:t xml:space="preserve">ROLE: Governance engineer generalizing a card-specific rule into a platform requirement.</w:t>
      </w:r>
    </w:p>
    <w:p>
      <w:pPr>
        <w:spacing w:after="140"/>
      </w:pPr>
      <w:r>
        <w:t xml:space="preserve">INSTRUCTION: Generalize REVERB ALPHA's card-level rule (C-REV-10) into a platform requirement: any SPC's output package that runs Clarity (KLARITY-001), Truthfulness (SOLVA-LITE), and Detectability (LDP-001) reports all three as separate figures.</w:t>
      </w:r>
    </w:p>
    <w:p>
      <w:pPr>
        <w:spacing w:after="140"/>
      </w:pPr>
      <w:r>
        <w:t xml:space="preserve">CONSTRAINT: C-123: collapsing them into one composite "quality score" is now a platform-wide violation of Domain 13, not a rule specific to one orchestrator card.</w:t>
      </w:r>
    </w:p>
    <w:p>
      <w:pPr>
        <w:spacing w:after="140"/>
      </w:pPr>
      <w:r>
        <w:t xml:space="preserve">FORMAT: output_package.scores = {clarity, truthfulness, detectability} — no composite field permitted in the schema.</w:t>
      </w:r>
    </w:p>
    <w:p>
      <w:pPr>
        <w:spacing w:after="140"/>
      </w:pPr>
      <w:r>
        <w:t xml:space="preserve">DATA: C-108 (v3.0) already established the three-question, never-one-score principle for KLARITY-001 itself; KLARITY-003 extends the same discipline to every card's reported output, matching what REVERB ALPHA and REVERB v3.0 both independently already do.</w:t>
      </w:r>
    </w:p>
    <w:p>
      <w:pPr>
        <w:pStyle w:val="Heading1"/>
        <w:spacing w:after="180" w:before="380"/>
      </w:pPr>
      <w:r>
        <w:t xml:space="preserve">Part 5 · Compliance &amp; Quality Self-Audit</w:t>
      </w:r>
    </w:p>
    <w:p>
      <w:pPr>
        <w:spacing w:after="140"/>
      </w:pPr>
      <w:r>
        <w:t xml:space="preserve">This is the direct answer to "ensure compliant with all internal quality and compliance checks." Every check this platform actually defines is listed below with its true current status — self-adjudicated where that is the most that has ever been done, and marked OPEN where independent verification has never occurred. Nothing below is upgraded to PASS on the strength of this consolidation alone; consolidating scattered features does not, by itself, execute a check against a real session or a real independent reviewer.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rPr>
          <w:tblHeader/>
        </w:trPr>
        <w:tc>
          <w:tcPr>
            <w:tcW w:type="dxa" w:w="3400"/>
            <w:shd w:fill="1F3864" w:val="clear"/>
          </w:tcPr>
          <w:p>
            <w:pPr>
              <w:jc w:val="left"/>
            </w:pPr>
            <w:r>
              <w:rPr>
                <w:b/>
                <w:bCs/>
              </w:rPr>
              <w:t xml:space="preserve">Check</w:t>
            </w:r>
          </w:p>
        </w:tc>
        <w:tc>
          <w:tcPr>
            <w:tcW w:type="dxa" w:w="2200"/>
            <w:shd w:fill="1F3864" w:val="clear"/>
          </w:tcPr>
          <w:p>
            <w:pPr>
              <w:jc w:val="left"/>
            </w:pPr>
            <w:r>
              <w:rPr>
                <w:b/>
                <w:bCs/>
              </w:rPr>
              <w:t xml:space="preserve">Status</w:t>
            </w:r>
          </w:p>
        </w:tc>
        <w:tc>
          <w:tcPr>
            <w:tcW w:type="dxa" w:w="3760"/>
            <w:shd w:fill="1F3864" w:val="clear"/>
          </w:tcPr>
          <w:p>
            <w:pPr>
              <w:jc w:val="left"/>
            </w:pPr>
            <w:r>
              <w:rPr>
                <w:b/>
                <w:bCs/>
              </w:rPr>
              <w:t xml:space="preserve">Notes</w:t>
            </w:r>
          </w:p>
        </w:tc>
      </w:tr>
      <w:tr>
        <w:tc>
          <w:tcPr>
            <w:tcW w:type="dxa" w:w="3400"/>
          </w:tcPr>
          <w:p>
            <w:pPr>
              <w:jc w:val="left"/>
            </w:pPr>
            <w:r>
              <w:rPr>
                <w:b w:val="false"/>
                <w:bCs w:val="false"/>
              </w:rPr>
              <w:t xml:space="preserve">FORGE 7-Step Pipeline (F0–F7)</w:t>
            </w:r>
          </w:p>
        </w:tc>
        <w:tc>
          <w:tcPr>
            <w:tcW w:type="dxa" w:w="2200"/>
          </w:tcPr>
          <w:p>
            <w:pPr>
              <w:jc w:val="left"/>
            </w:pPr>
            <w:r>
              <w:rPr>
                <w:b w:val="false"/>
                <w:bCs w:val="false"/>
              </w:rPr>
              <w:t xml:space="preserve">RUN — self-adjudicated</w:t>
            </w:r>
          </w:p>
        </w:tc>
        <w:tc>
          <w:tcPr>
            <w:tcW w:type="dxa" w:w="3760"/>
          </w:tcPr>
          <w:p>
            <w:pPr>
              <w:jc w:val="left"/>
            </w:pPr>
            <w:r>
              <w:rPr>
                <w:b w:val="false"/>
                <w:bCs w:val="false"/>
              </w:rPr>
              <w:t xml:space="preserve">Executed for this build's own invocation log (Part 6); this is the standard authoring discipline, not an external audit.</w:t>
            </w:r>
          </w:p>
        </w:tc>
      </w:tr>
      <w:tr>
        <w:tc>
          <w:tcPr>
            <w:tcW w:type="dxa" w:w="3400"/>
            <w:shd w:fill="F2F2F2" w:val="clear"/>
          </w:tcPr>
          <w:p>
            <w:pPr>
              <w:jc w:val="left"/>
            </w:pPr>
            <w:r>
              <w:rPr>
                <w:b w:val="false"/>
                <w:bCs w:val="false"/>
              </w:rPr>
              <w:t xml:space="preserve">Honesty Gate G3</w:t>
            </w:r>
          </w:p>
        </w:tc>
        <w:tc>
          <w:tcPr>
            <w:tcW w:type="dxa" w:w="2200"/>
            <w:shd w:fill="F2F2F2" w:val="clear"/>
          </w:tcPr>
          <w:p>
            <w:pPr>
              <w:jc w:val="left"/>
            </w:pPr>
            <w:r>
              <w:rPr>
                <w:b w:val="false"/>
                <w:bCs w:val="false"/>
              </w:rPr>
              <w:t xml:space="preserve">RUN — passed with disclosures</w:t>
            </w:r>
          </w:p>
        </w:tc>
        <w:tc>
          <w:tcPr>
            <w:tcW w:type="dxa" w:w="3760"/>
            <w:shd w:fill="F2F2F2" w:val="clear"/>
          </w:tcPr>
          <w:p>
            <w:pPr>
              <w:jc w:val="left"/>
            </w:pPr>
            <w:r>
              <w:rPr>
                <w:b w:val="false"/>
                <w:bCs w:val="false"/>
              </w:rPr>
              <w:t xml:space="preserve">See the Honesty Gate section above: three source documents still not located; "compliant" scoped precisely to avoid fabricating independent verification.</w:t>
            </w:r>
          </w:p>
        </w:tc>
      </w:tr>
      <w:tr>
        <w:tc>
          <w:tcPr>
            <w:tcW w:type="dxa" w:w="3400"/>
          </w:tcPr>
          <w:p>
            <w:pPr>
              <w:jc w:val="left"/>
            </w:pPr>
            <w:r>
              <w:rPr>
                <w:b w:val="false"/>
                <w:bCs w:val="false"/>
              </w:rPr>
              <w:t xml:space="preserve">JCSE Self-Score</w:t>
            </w:r>
          </w:p>
        </w:tc>
        <w:tc>
          <w:tcPr>
            <w:tcW w:type="dxa" w:w="2200"/>
          </w:tcPr>
          <w:p>
            <w:pPr>
              <w:jc w:val="left"/>
            </w:pPr>
            <w:r>
              <w:rPr>
                <w:b w:val="false"/>
                <w:bCs w:val="false"/>
              </w:rPr>
              <w:t xml:space="preserve">48/50 — SELF-SCORED</w:t>
            </w:r>
          </w:p>
        </w:tc>
        <w:tc>
          <w:tcPr>
            <w:tcW w:type="dxa" w:w="3760"/>
          </w:tcPr>
          <w:p>
            <w:pPr>
              <w:jc w:val="left"/>
            </w:pPr>
            <w:r>
              <w:rPr>
                <w:b w:val="false"/>
                <w:bCs w:val="false"/>
              </w:rPr>
              <w:t xml:space="preserve">Consistent with the full lineage's own scoring; not independently verified by SOLVA GAUNTLET at any point across seven documents.</w:t>
            </w:r>
          </w:p>
        </w:tc>
      </w:tr>
      <w:tr>
        <w:tc>
          <w:tcPr>
            <w:tcW w:type="dxa" w:w="3400"/>
            <w:shd w:fill="F2F2F2" w:val="clear"/>
          </w:tcPr>
          <w:p>
            <w:pPr>
              <w:jc w:val="left"/>
            </w:pPr>
            <w:r>
              <w:rPr>
                <w:b w:val="false"/>
                <w:bCs w:val="false"/>
              </w:rPr>
              <w:t xml:space="preserve">SOLVA-LITE (5 checks: factual consistency, GRO state, tier completeness, connector scope, GOV2-003's compliance check)</w:t>
            </w:r>
          </w:p>
        </w:tc>
        <w:tc>
          <w:tcPr>
            <w:tcW w:type="dxa" w:w="2200"/>
            <w:shd w:fill="F2F2F2" w:val="clear"/>
          </w:tcPr>
          <w:p>
            <w:pPr>
              <w:jc w:val="left"/>
            </w:pPr>
            <w:r>
              <w:rPr>
                <w:b w:val="false"/>
                <w:bCs w:val="false"/>
              </w:rPr>
              <w:t xml:space="preserve">NATIVE, advisory</w:t>
            </w:r>
          </w:p>
        </w:tc>
        <w:tc>
          <w:tcPr>
            <w:tcW w:type="dxa" w:w="3760"/>
            <w:shd w:fill="F2F2F2" w:val="clear"/>
          </w:tcPr>
          <w:p>
            <w:pPr>
              <w:jc w:val="left"/>
            </w:pPr>
            <w:r>
              <w:rPr>
                <w:b w:val="false"/>
                <w:bCs w:val="false"/>
              </w:rPr>
              <w:t xml:space="preserve">OPEN — never executed against a real live session anywhere in this lineage, per every predecessor document's own Status &amp; Next Step.</w:t>
            </w:r>
          </w:p>
        </w:tc>
      </w:tr>
      <w:tr>
        <w:tc>
          <w:tcPr>
            <w:tcW w:type="dxa" w:w="3400"/>
          </w:tcPr>
          <w:p>
            <w:pPr>
              <w:jc w:val="left"/>
            </w:pPr>
            <w:r>
              <w:rPr>
                <w:b w:val="false"/>
                <w:bCs w:val="false"/>
              </w:rPr>
              <w:t xml:space="preserve">Linguistic Detectability Pass (LDP-001–009)</w:t>
            </w:r>
          </w:p>
        </w:tc>
        <w:tc>
          <w:tcPr>
            <w:tcW w:type="dxa" w:w="2200"/>
          </w:tcPr>
          <w:p>
            <w:pPr>
              <w:jc w:val="left"/>
            </w:pPr>
            <w:r>
              <w:rPr>
                <w:b w:val="false"/>
                <w:bCs w:val="false"/>
              </w:rPr>
              <w:t xml:space="preserve">NATIVE, unchanged</w:t>
            </w:r>
          </w:p>
        </w:tc>
        <w:tc>
          <w:tcPr>
            <w:tcW w:type="dxa" w:w="3760"/>
          </w:tcPr>
          <w:p>
            <w:pPr>
              <w:jc w:val="left"/>
            </w:pPr>
            <w:r>
              <w:rPr>
                <w:b w:val="false"/>
                <w:bCs w:val="false"/>
              </w:rPr>
              <w:t xml:space="preserve">OPEN — LDP-002's 3× em-dash threshold remains a design choice pending LDP-009's regression data; not validated against a live AI-detection tool.</w:t>
            </w:r>
          </w:p>
        </w:tc>
      </w:tr>
      <w:tr>
        <w:tc>
          <w:tcPr>
            <w:tcW w:type="dxa" w:w="3400"/>
            <w:shd w:fill="F2F2F2" w:val="clear"/>
          </w:tcPr>
          <w:p>
            <w:pPr>
              <w:jc w:val="left"/>
            </w:pPr>
            <w:r>
              <w:rPr>
                <w:b w:val="false"/>
                <w:bCs w:val="false"/>
              </w:rPr>
              <w:t xml:space="preserve">Universal Clarity Pass (KLARITY-001)</w:t>
            </w:r>
          </w:p>
        </w:tc>
        <w:tc>
          <w:tcPr>
            <w:tcW w:type="dxa" w:w="2200"/>
            <w:shd w:fill="F2F2F2" w:val="clear"/>
          </w:tcPr>
          <w:p>
            <w:pPr>
              <w:jc w:val="left"/>
            </w:pPr>
            <w:r>
              <w:rPr>
                <w:b w:val="false"/>
                <w:bCs w:val="false"/>
              </w:rPr>
              <w:t xml:space="preserve">NATIVE, unbuilt</w:t>
            </w:r>
          </w:p>
        </w:tc>
        <w:tc>
          <w:tcPr>
            <w:tcW w:type="dxa" w:w="3760"/>
            <w:shd w:fill="F2F2F2" w:val="clear"/>
          </w:tcPr>
          <w:p>
            <w:pPr>
              <w:jc w:val="left"/>
            </w:pPr>
            <w:r>
              <w:rPr>
                <w:b w:val="false"/>
                <w:bCs w:val="false"/>
              </w:rPr>
              <w:t xml:space="preserve">OPEN — Domain 13 is Pre-Build like every other domain; entirely unbuilt since its introduction in -007.</w:t>
            </w:r>
          </w:p>
        </w:tc>
      </w:tr>
      <w:tr>
        <w:tc>
          <w:tcPr>
            <w:tcW w:type="dxa" w:w="3400"/>
          </w:tcPr>
          <w:p>
            <w:pPr>
              <w:jc w:val="left"/>
            </w:pPr>
            <w:r>
              <w:rPr>
                <w:b w:val="false"/>
                <w:bCs w:val="false"/>
              </w:rPr>
              <w:t xml:space="preserve">Consent-gate independent security audit</w:t>
            </w:r>
          </w:p>
        </w:tc>
        <w:tc>
          <w:tcPr>
            <w:tcW w:type="dxa" w:w="2200"/>
          </w:tcPr>
          <w:p>
            <w:pPr>
              <w:jc w:val="left"/>
            </w:pPr>
            <w:r>
              <w:rPr>
                <w:b w:val="false"/>
                <w:bCs w:val="false"/>
              </w:rPr>
              <w:t xml:space="preserve">Four-phase plan defined, never executed</w:t>
            </w:r>
          </w:p>
        </w:tc>
        <w:tc>
          <w:tcPr>
            <w:tcW w:type="dxa" w:w="3760"/>
          </w:tcPr>
          <w:p>
            <w:pPr>
              <w:jc w:val="left"/>
            </w:pPr>
            <w:r>
              <w:rPr>
                <w:b w:val="false"/>
                <w:bCs w:val="false"/>
              </w:rPr>
              <w:t xml:space="preserve">OPEN — carried forward unchanged since -002/-003; restated in every subsequent document including this one.</w:t>
            </w:r>
          </w:p>
        </w:tc>
      </w:tr>
      <w:tr>
        <w:tc>
          <w:tcPr>
            <w:tcW w:type="dxa" w:w="3400"/>
            <w:shd w:fill="F2F2F2" w:val="clear"/>
          </w:tcPr>
          <w:p>
            <w:pPr>
              <w:jc w:val="left"/>
            </w:pPr>
            <w:r>
              <w:rPr>
                <w:b w:val="false"/>
                <w:bCs w:val="false"/>
              </w:rPr>
              <w:t xml:space="preserve">SHAYMXT bias-evaluation / FIX Engine items</w:t>
            </w:r>
          </w:p>
        </w:tc>
        <w:tc>
          <w:tcPr>
            <w:tcW w:type="dxa" w:w="2200"/>
            <w:shd w:fill="F2F2F2" w:val="clear"/>
          </w:tcPr>
          <w:p>
            <w:pPr>
              <w:jc w:val="left"/>
            </w:pPr>
            <w:r>
              <w:rPr>
                <w:b w:val="false"/>
                <w:bCs w:val="false"/>
              </w:rPr>
              <w:t xml:space="preserve">CONDITIONALLY VIABLE (SVS 52/100)</w:t>
            </w:r>
          </w:p>
        </w:tc>
        <w:tc>
          <w:tcPr>
            <w:tcW w:type="dxa" w:w="3760"/>
            <w:shd w:fill="F2F2F2" w:val="clear"/>
          </w:tcPr>
          <w:p>
            <w:pPr>
              <w:jc w:val="left"/>
            </w:pPr>
            <w:r>
              <w:rPr>
                <w:b w:val="false"/>
                <w:bCs w:val="false"/>
              </w:rPr>
              <w:t xml:space="preserve">OPEN — none completed as of the last status check (Content Base Expansion, Aug 16, 2026).</w:t>
            </w:r>
          </w:p>
        </w:tc>
      </w:tr>
      <w:tr>
        <w:tc>
          <w:tcPr>
            <w:tcW w:type="dxa" w:w="3400"/>
          </w:tcPr>
          <w:p>
            <w:pPr>
              <w:jc w:val="left"/>
            </w:pPr>
            <w:r>
              <w:rPr>
                <w:b w:val="false"/>
                <w:bCs w:val="false"/>
              </w:rPr>
              <w:t xml:space="preserve">SHAY standalone SOLVA GAUNTLET adjudication</w:t>
            </w:r>
          </w:p>
        </w:tc>
        <w:tc>
          <w:tcPr>
            <w:tcW w:type="dxa" w:w="2200"/>
          </w:tcPr>
          <w:p>
            <w:pPr>
              <w:jc w:val="left"/>
            </w:pPr>
            <w:r>
              <w:rPr>
                <w:b w:val="false"/>
                <w:bCs w:val="false"/>
              </w:rPr>
              <w:t xml:space="preserve">Incomplete</w:t>
            </w:r>
          </w:p>
        </w:tc>
        <w:tc>
          <w:tcPr>
            <w:tcW w:type="dxa" w:w="3760"/>
          </w:tcPr>
          <w:p>
            <w:pPr>
              <w:jc w:val="left"/>
            </w:pPr>
            <w:r>
              <w:rPr>
                <w:b w:val="false"/>
                <w:bCs w:val="false"/>
              </w:rPr>
              <w:t xml:space="preserve">OPEN — unresolved since the base v2.0 PDD; SHAY's retained standalone role (CB-002) does not depend on this resolving.</w:t>
            </w:r>
          </w:p>
        </w:tc>
      </w:tr>
      <w:tr>
        <w:tc>
          <w:tcPr>
            <w:tcW w:type="dxa" w:w="3400"/>
            <w:shd w:fill="F2F2F2" w:val="clear"/>
          </w:tcPr>
          <w:p>
            <w:pPr>
              <w:jc w:val="left"/>
            </w:pPr>
            <w:r>
              <w:rPr>
                <w:b w:val="false"/>
                <w:bCs w:val="false"/>
              </w:rPr>
              <w:t xml:space="preserve">TITAN's JCSE</w:t>
            </w:r>
          </w:p>
        </w:tc>
        <w:tc>
          <w:tcPr>
            <w:tcW w:type="dxa" w:w="2200"/>
            <w:shd w:fill="F2F2F2" w:val="clear"/>
          </w:tcPr>
          <w:p>
            <w:pPr>
              <w:jc w:val="left"/>
            </w:pPr>
            <w:r>
              <w:rPr>
                <w:b w:val="false"/>
                <w:bCs w:val="false"/>
              </w:rPr>
              <w:t xml:space="preserve">Unconfirmed</w:t>
            </w:r>
          </w:p>
        </w:tc>
        <w:tc>
          <w:tcPr>
            <w:tcW w:type="dxa" w:w="3760"/>
            <w:shd w:fill="F2F2F2" w:val="clear"/>
          </w:tcPr>
          <w:p>
            <w:pPr>
              <w:jc w:val="left"/>
            </w:pPr>
            <w:r>
              <w:rPr>
                <w:b w:val="false"/>
                <w:bCs w:val="false"/>
              </w:rPr>
              <w:t xml:space="preserve">OPEN — carried forward unchanged since -004 v1.1.</w:t>
            </w:r>
          </w:p>
        </w:tc>
      </w:tr>
      <w:tr>
        <w:tc>
          <w:tcPr>
            <w:tcW w:type="dxa" w:w="3400"/>
          </w:tcPr>
          <w:p>
            <w:pPr>
              <w:jc w:val="left"/>
            </w:pPr>
            <w:r>
              <w:rPr>
                <w:b w:val="false"/>
                <w:bCs w:val="false"/>
              </w:rPr>
              <w:t xml:space="preserve">Platform financial position</w:t>
            </w:r>
          </w:p>
        </w:tc>
        <w:tc>
          <w:tcPr>
            <w:tcW w:type="dxa" w:w="2200"/>
          </w:tcPr>
          <w:p>
            <w:pPr>
              <w:jc w:val="left"/>
            </w:pPr>
            <w:r>
              <w:rPr>
                <w:b w:val="false"/>
                <w:bCs w:val="false"/>
              </w:rPr>
              <w:t xml:space="preserve">Zero disclosed</w:t>
            </w:r>
          </w:p>
        </w:tc>
        <w:tc>
          <w:tcPr>
            <w:tcW w:type="dxa" w:w="3760"/>
          </w:tcPr>
          <w:p>
            <w:pPr>
              <w:jc w:val="left"/>
            </w:pPr>
            <w:r>
              <w:rPr>
                <w:b w:val="false"/>
                <w:bCs w:val="false"/>
              </w:rPr>
              <w:t xml:space="preserve">OPEN — first stated in REVERB ALPHA v2.0 §8; not a claim this build can resolve.</w:t>
            </w:r>
          </w:p>
        </w:tc>
      </w:tr>
      <w:tr>
        <w:tc>
          <w:tcPr>
            <w:tcW w:type="dxa" w:w="3400"/>
            <w:shd w:fill="F2F2F2" w:val="clear"/>
          </w:tcPr>
          <w:p>
            <w:pPr>
              <w:jc w:val="left"/>
            </w:pPr>
            <w:r>
              <w:rPr>
                <w:b w:val="false"/>
                <w:bCs w:val="false"/>
              </w:rPr>
              <w:t xml:space="preserve">Independent SOLVA GAUNTLET review of the consolidated Omnibus document itself</w:t>
            </w:r>
          </w:p>
        </w:tc>
        <w:tc>
          <w:tcPr>
            <w:tcW w:type="dxa" w:w="2200"/>
            <w:shd w:fill="F2F2F2" w:val="clear"/>
          </w:tcPr>
          <w:p>
            <w:pPr>
              <w:jc w:val="left"/>
            </w:pPr>
            <w:r>
              <w:rPr>
                <w:b w:val="false"/>
                <w:bCs w:val="false"/>
              </w:rPr>
              <w:t xml:space="preserve">NEVER PERFORMED</w:t>
            </w:r>
          </w:p>
        </w:tc>
        <w:tc>
          <w:tcPr>
            <w:tcW w:type="dxa" w:w="3760"/>
            <w:shd w:fill="F2F2F2" w:val="clear"/>
          </w:tcPr>
          <w:p>
            <w:pPr>
              <w:jc w:val="left"/>
            </w:pPr>
            <w:r>
              <w:rPr>
                <w:b w:val="false"/>
                <w:bCs w:val="false"/>
              </w:rPr>
              <w:t xml:space="preserve">OPEN — the single largest compliance gap. -007 already flagged this at five amendment cycles deep ("a longer gap than this platform's own governance discipline should carry further"); this build is the seventh document and sixth amendment cycle without one independent whole-document adjudication having occurred.</w:t>
            </w:r>
          </w:p>
        </w:tc>
      </w:tr>
      <w:tr>
        <w:tc>
          <w:tcPr>
            <w:tcW w:type="dxa" w:w="3400"/>
          </w:tcPr>
          <w:p>
            <w:pPr>
              <w:jc w:val="left"/>
            </w:pPr>
            <w:r>
              <w:rPr>
                <w:b w:val="false"/>
                <w:bCs w:val="false"/>
              </w:rPr>
              <w:t xml:space="preserve">FORGE Certification</w:t>
            </w:r>
          </w:p>
        </w:tc>
        <w:tc>
          <w:tcPr>
            <w:tcW w:type="dxa" w:w="2200"/>
          </w:tcPr>
          <w:p>
            <w:pPr>
              <w:jc w:val="left"/>
            </w:pPr>
            <w:r>
              <w:rPr>
                <w:b w:val="false"/>
                <w:bCs w:val="false"/>
              </w:rPr>
              <w:t xml:space="preserve">NOT CERTIFIED</w:t>
            </w:r>
          </w:p>
        </w:tc>
        <w:tc>
          <w:tcPr>
            <w:tcW w:type="dxa" w:w="3760"/>
          </w:tcPr>
          <w:p>
            <w:pPr>
              <w:jc w:val="left"/>
            </w:pPr>
            <w:r>
              <w:rPr>
                <w:b w:val="false"/>
                <w:bCs w:val="false"/>
              </w:rPr>
              <w:t xml:space="preserve">This build does not claim certification. Certification requires the SOLVA GAUNTLET review above, which has not happened.</w:t>
            </w:r>
          </w:p>
        </w:tc>
      </w:tr>
    </w:tbl>
    <w:p>
      <w:pPr>
        <w:spacing w:after="140"/>
      </w:pPr>
      <w:r>
        <w:rPr>
          <w:i/>
          <w:iCs/>
        </w:rPr>
        <w:t xml:space="preserve">Reading this table honestly: every check the platform can run on itself has been run, and passes at the specification level. No check that requires an independent reviewer — SOLVA GAUNTLET adjudication, a live AI-detection tool, a real security audit, a real session — has ever been performed on any Omnibus-level document in this lineage, this one included. "Compliant with every internal quality and compliance check" is true in the self-adjudication sense this platform has operated in since -002; it is not true in the independently-verified sense, and this document does not claim otherwise.</w:t>
      </w:r>
    </w:p>
    <w:p>
      <w:pPr>
        <w:pStyle w:val="Heading1"/>
        <w:spacing w:after="180" w:before="380"/>
      </w:pPr>
      <w:r>
        <w:t xml:space="preserve">Part 6 · Step 00 — Invocation &amp; Execution Log (FORGE 7-Step)</w:t>
      </w:r>
    </w:p>
    <w:p>
      <w:pPr>
        <w:spacing w:after="140"/>
      </w:pPr>
      <w:r>
        <w:t xml:space="preserve">Invocation: "Use ATLAS 360 PLAN to build an SPC PLAYER that combines all the features scattered across all the artifacts and ensure it is compliant with all internal quality and compliance checks."</w:t>
      </w:r>
    </w:p>
    <w:p>
      <w:pPr>
        <w:pStyle w:val="ListParagraph"/>
        <w:numPr>
          <w:ilvl w:val="0"/>
          <w:numId w:val="1"/>
        </w:numPr>
        <w:spacing w:after="70"/>
      </w:pPr>
      <w:r>
        <w:t xml:space="preserve">[F0 LLM] No change to PLAYER's LLM-agnostic execution layer.</w:t>
      </w:r>
    </w:p>
    <w:p>
      <w:pPr>
        <w:pStyle w:val="ListParagraph"/>
        <w:numPr>
          <w:ilvl w:val="0"/>
          <w:numId w:val="1"/>
        </w:numPr>
        <w:spacing w:after="70"/>
      </w:pPr>
      <w:r>
        <w:t xml:space="preserve">[F1 INTAKE] 6 sources read in full — SPC_PLAYER_Content_Base_Expansion (-005), SPC_Player_AI_Forensics_Report, SPC_PLAYER_Linguistic_Detectability_Addendum (-006), SPC_PLAYER_OMNIBUS_v3_Complete_Rewrite (-007), REVERB_ALPHA_v2_0, REVERB_v3_0 — plus the prior compendium's own findings on -002/-003/-004 v1.1 (not located).</w:t>
      </w:r>
    </w:p>
    <w:p>
      <w:pPr>
        <w:pStyle w:val="ListParagraph"/>
        <w:numPr>
          <w:ilvl w:val="0"/>
          <w:numId w:val="1"/>
        </w:numPr>
        <w:spacing w:after="70"/>
      </w:pPr>
      <w:r>
        <w:t xml:space="preserve">[F2 CLASSIFY] Platform-level consolidation build, not a card revision — folds a downstream card's platform-intended features (Cheat Sheet, three-axis scoring) back into the Omnibus, and adds a compliance self-audit.</w:t>
      </w:r>
    </w:p>
    <w:p>
      <w:pPr>
        <w:pStyle w:val="ListParagraph"/>
        <w:numPr>
          <w:ilvl w:val="0"/>
          <w:numId w:val="1"/>
        </w:numPr>
        <w:spacing w:after="70"/>
      </w:pPr>
      <w:r>
        <w:t xml:space="preserve">[F3 DECOMPOSE] 1 new domain (14, 5 prompts) · 2 amended domains (1, 13 — 1 prompt each) · 1 new Compliance &amp; Quality Self-Audit part, not previously a standalone section in any predecessor.</w:t>
      </w:r>
    </w:p>
    <w:p>
      <w:pPr>
        <w:pStyle w:val="ListParagraph"/>
        <w:numPr>
          <w:ilvl w:val="0"/>
          <w:numId w:val="1"/>
        </w:numPr>
        <w:spacing w:after="70"/>
      </w:pPr>
      <w:r>
        <w:t xml:space="preserve">[F4 TAXONOMY] ATLAS 360 PLAN (author) · SPHINX ENGINE (Domain 14 owner) · KLARITY SI, SOLVA ULTRA SI (Domain 13 amendment) — zero new card names introduced, matching the Framework Alignment discipline every predecessor document scored 5/5 on.</w:t>
      </w:r>
    </w:p>
    <w:p>
      <w:pPr>
        <w:pStyle w:val="ListParagraph"/>
        <w:numPr>
          <w:ilvl w:val="0"/>
          <w:numId w:val="1"/>
        </w:numPr>
        <w:spacing w:after="70"/>
      </w:pPr>
      <w:r>
        <w:t xml:space="preserve">[F5 SPECIFY] Domain 14 new · Domain 1 and Domain 13 each gain one prompt · Part 4 (Compliance Self-Audit) new.</w:t>
      </w:r>
    </w:p>
    <w:p>
      <w:pPr>
        <w:pStyle w:val="ListParagraph"/>
        <w:numPr>
          <w:ilvl w:val="0"/>
          <w:numId w:val="1"/>
        </w:numPr>
        <w:spacing w:after="70"/>
      </w:pPr>
      <w:r>
        <w:t xml:space="preserve">[G3 HONESTY GATE] passed — no open item silently resolved (Part 5 restates all of them); no capability claimed that the source documents don't already establish; FORGE Certification explicitly not claimed.</w:t>
      </w:r>
    </w:p>
    <w:p>
      <w:pPr>
        <w:pStyle w:val="ListParagraph"/>
        <w:numPr>
          <w:ilvl w:val="0"/>
          <w:numId w:val="1"/>
        </w:numPr>
        <w:spacing w:after="70"/>
      </w:pPr>
      <w:r>
        <w:t xml:space="preserve">[F7 CERTIFY] JCSE 48/50 (self-scored, unchanged) · Pre-Build · FORGE Certification: NOT GRANTED.</w:t>
      </w:r>
    </w:p>
    <w:p>
      <w:pPr>
        <w:pStyle w:val="Heading1"/>
        <w:spacing w:after="180" w:before="380"/>
      </w:pPr>
      <w:r>
        <w:t xml:space="preserve">Part 7 · Sprint Plan — Consolidated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00"/>
        <w:gridCol w:w="2860"/>
      </w:tblGrid>
      <w:tr>
        <w:trPr>
          <w:tblHeader/>
        </w:trPr>
        <w:tc>
          <w:tcPr>
            <w:tcW w:type="dxa" w:w="1400"/>
            <w:shd w:fill="1F3864" w:val="clear"/>
          </w:tcPr>
          <w:p>
            <w:pPr>
              <w:jc w:val="left"/>
            </w:pPr>
            <w:r>
              <w:rPr>
                <w:b/>
                <w:bCs/>
              </w:rPr>
              <w:t xml:space="preserve">Sprint</w:t>
            </w:r>
          </w:p>
        </w:tc>
        <w:tc>
          <w:tcPr>
            <w:tcW w:type="dxa" w:w="5100"/>
            <w:shd w:fill="1F3864" w:val="clear"/>
          </w:tcPr>
          <w:p>
            <w:pPr>
              <w:jc w:val="left"/>
            </w:pPr>
            <w:r>
              <w:rPr>
                <w:b/>
                <w:bCs/>
              </w:rPr>
              <w:t xml:space="preserve">Focus</w:t>
            </w:r>
          </w:p>
        </w:tc>
        <w:tc>
          <w:tcPr>
            <w:tcW w:type="dxa" w:w="2860"/>
            <w:shd w:fill="1F3864" w:val="clear"/>
          </w:tcPr>
          <w:p>
            <w:pPr>
              <w:jc w:val="left"/>
            </w:pPr>
            <w:r>
              <w:rPr>
                <w:b/>
                <w:bCs/>
              </w:rPr>
              <w:t xml:space="preserve">Status</w:t>
            </w:r>
          </w:p>
        </w:tc>
      </w:tr>
      <w:tr>
        <w:tc>
          <w:tcPr>
            <w:tcW w:type="dxa" w:w="1400"/>
          </w:tcPr>
          <w:p>
            <w:pPr>
              <w:jc w:val="left"/>
            </w:pPr>
            <w:r>
              <w:rPr>
                <w:b w:val="false"/>
                <w:bCs w:val="false"/>
              </w:rPr>
              <w:t xml:space="preserve">1–11</w:t>
            </w:r>
          </w:p>
        </w:tc>
        <w:tc>
          <w:tcPr>
            <w:tcW w:type="dxa" w:w="5100"/>
          </w:tcPr>
          <w:p>
            <w:pPr>
              <w:jc w:val="left"/>
            </w:pPr>
            <w:r>
              <w:rPr>
                <w:b w:val="false"/>
                <w:bCs w:val="false"/>
              </w:rPr>
              <w:t xml:space="preserve">Foundation through Linguistic Detectability &amp; Voice</w:t>
            </w:r>
          </w:p>
        </w:tc>
        <w:tc>
          <w:tcPr>
            <w:tcW w:type="dxa" w:w="2860"/>
          </w:tcPr>
          <w:p>
            <w:pPr>
              <w:jc w:val="left"/>
            </w:pPr>
            <w:r>
              <w:rPr>
                <w:b w:val="false"/>
                <w:bCs w:val="false"/>
              </w:rPr>
              <w:t xml:space="preserve">Per -002 through -006, unchanged</w:t>
            </w:r>
          </w:p>
        </w:tc>
      </w:tr>
      <w:tr>
        <w:tc>
          <w:tcPr>
            <w:tcW w:type="dxa" w:w="1400"/>
            <w:shd w:fill="F2F2F2" w:val="clear"/>
          </w:tcPr>
          <w:p>
            <w:pPr>
              <w:jc w:val="left"/>
            </w:pPr>
            <w:r>
              <w:rPr>
                <w:b w:val="false"/>
                <w:bCs w:val="false"/>
              </w:rPr>
              <w:t xml:space="preserve">12</w:t>
            </w:r>
          </w:p>
        </w:tc>
        <w:tc>
          <w:tcPr>
            <w:tcW w:type="dxa" w:w="5100"/>
            <w:shd w:fill="F2F2F2" w:val="clear"/>
          </w:tcPr>
          <w:p>
            <w:pPr>
              <w:jc w:val="left"/>
            </w:pPr>
            <w:r>
              <w:rPr>
                <w:b w:val="false"/>
                <w:bCs w:val="false"/>
              </w:rPr>
              <w:t xml:space="preserve">Clarity &amp; Universal Packaging + Connector Expansion</w:t>
            </w:r>
          </w:p>
        </w:tc>
        <w:tc>
          <w:tcPr>
            <w:tcW w:type="dxa" w:w="2860"/>
            <w:shd w:fill="F2F2F2" w:val="clear"/>
          </w:tcPr>
          <w:p>
            <w:pPr>
              <w:jc w:val="left"/>
            </w:pPr>
            <w:r>
              <w:rPr>
                <w:b w:val="false"/>
                <w:bCs w:val="false"/>
              </w:rPr>
              <w:t xml:space="preserve">Per -007, unchanged — still Pre-Build</w:t>
            </w:r>
          </w:p>
        </w:tc>
      </w:tr>
      <w:tr>
        <w:tc>
          <w:tcPr>
            <w:tcW w:type="dxa" w:w="1400"/>
          </w:tcPr>
          <w:p>
            <w:pPr>
              <w:jc w:val="left"/>
            </w:pPr>
            <w:r>
              <w:rPr>
                <w:b w:val="false"/>
                <w:bCs w:val="false"/>
              </w:rPr>
              <w:t xml:space="preserve">13 (new)</w:t>
            </w:r>
          </w:p>
        </w:tc>
        <w:tc>
          <w:tcPr>
            <w:tcW w:type="dxa" w:w="5100"/>
          </w:tcPr>
          <w:p>
            <w:pPr>
              <w:jc w:val="left"/>
            </w:pPr>
            <w:r>
              <w:rPr>
                <w:b w:val="false"/>
                <w:bCs w:val="false"/>
              </w:rPr>
              <w:t xml:space="preserve">SPC Cheat Sheet &amp; Marketplace Discovery Standard + SPC Dev Kit Registry + Platform-Wide Three-Axis Scoring</w:t>
            </w:r>
          </w:p>
        </w:tc>
        <w:tc>
          <w:tcPr>
            <w:tcW w:type="dxa" w:w="2860"/>
          </w:tcPr>
          <w:p>
            <w:pPr>
              <w:jc w:val="left"/>
            </w:pPr>
            <w:r>
              <w:rPr>
                <w:b w:val="false"/>
                <w:bCs w:val="false"/>
              </w:rPr>
              <w:t xml:space="preserve">NEW. Exit gate: CHEAT-001–005 validated against a real Marketplace listing; FOUND-010 validated against one real SPARTAN→CODE DJ build cycle; KLARITY-003 validated by confirming zero composite-score output across a sample of card sessions.</w:t>
            </w:r>
          </w:p>
        </w:tc>
      </w:tr>
      <w:tr>
        <w:tc>
          <w:tcPr>
            <w:tcW w:type="dxa" w:w="1400"/>
            <w:shd w:fill="F2F2F2" w:val="clear"/>
          </w:tcPr>
          <w:p>
            <w:pPr>
              <w:jc w:val="left"/>
            </w:pPr>
            <w:r>
              <w:rPr>
                <w:b w:val="false"/>
                <w:bCs w:val="false"/>
              </w:rPr>
              <w:t xml:space="preserve">14 (proposed, not scheduled)</w:t>
            </w:r>
          </w:p>
        </w:tc>
        <w:tc>
          <w:tcPr>
            <w:tcW w:type="dxa" w:w="5100"/>
            <w:shd w:fill="F2F2F2" w:val="clear"/>
          </w:tcPr>
          <w:p>
            <w:pPr>
              <w:jc w:val="left"/>
            </w:pPr>
            <w:r>
              <w:rPr>
                <w:b w:val="false"/>
                <w:bCs w:val="false"/>
              </w:rPr>
              <w:t xml:space="preserve">First full SOLVA GAUNTLET review of the consolidated Omnibus document</w:t>
            </w:r>
          </w:p>
        </w:tc>
        <w:tc>
          <w:tcPr>
            <w:tcW w:type="dxa" w:w="2860"/>
            <w:shd w:fill="F2F2F2" w:val="clear"/>
          </w:tcPr>
          <w:p>
            <w:pPr>
              <w:jc w:val="left"/>
            </w:pPr>
            <w:r>
              <w:rPr>
                <w:b w:val="false"/>
                <w:bCs w:val="false"/>
              </w:rPr>
              <w:t xml:space="preserve">PROPOSED, not committed by this build alone — this is a governance decision for an independent reviewer to schedule, not something a self-authored PDD can schedule for itself.</w:t>
            </w:r>
          </w:p>
        </w:tc>
      </w:tr>
    </w:tbl>
    <w:p>
      <w:pPr>
        <w:pStyle w:val="Heading1"/>
        <w:spacing w:after="180" w:before="380"/>
      </w:pPr>
      <w:r>
        <w:t xml:space="preserve">Part 8 · Status &amp; Next Step</w:t>
      </w:r>
    </w:p>
    <w:p>
      <w:pPr>
        <w:spacing w:after="140"/>
      </w:pPr>
      <w:r>
        <w:t xml:space="preserve">This build is a specification-level consolidation, Pre-Build across all 14 domains, exactly like every document before it in this lineage. It genuinely unscatters three features that were platform-intended but living only inside a downstream card's document (Cheat Sheet, SPC Dev Kit registry, platform-wide three-axis scoring), and it runs every self-adjudicable check this platform defines. It does not, and cannot honestly, claim independent certification that has never been sought. The recommended next step is unchanged in kind from -007's own recommendation, now with more weight behind it: commission the first full SOLVA GAUNTLET review of the consolidated Omnibus — seven documents and six amendment cycles into this platform's life without one independent whole-document adjudication is a gap this build can name accurately but cannot close by itself.</w:t>
      </w:r>
    </w:p>
    <w:p>
      <w:pPr>
        <w:spacing w:before="300"/>
        <w:jc w:val="center"/>
      </w:pPr>
      <w:r>
        <w:rPr>
          <w:i/>
          <w:iCs/>
          <w:sz w:val="18"/>
          <w:szCs w:val="18"/>
        </w:rPr>
        <w:t xml:space="preserve">JNGL-SPCPLY-PDD-2026-008 · v4.0 · FORGE Production Floor · Koncentric Labs Inc. · ATANDA Publications Forum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2026-08-30T22:04:10.267Z</dcterms:created>
  <dcterms:modified xsi:type="dcterms:W3CDTF">2026-08-30T22:04:10.267Z</dcterms:modified>
</cp:coreProperties>
</file>

<file path=docProps/custom.xml><?xml version="1.0" encoding="utf-8"?>
<Properties xmlns="http://schemas.openxmlformats.org/officeDocument/2006/custom-properties" xmlns:vt="http://schemas.openxmlformats.org/officeDocument/2006/docPropsVTypes"/>
</file>