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228" w:val="clear"/>
            <w:tcMar>
              <w:top w:type="dxa" w:w="900"/>
              <w:left w:type="dxa" w:w="720"/>
              <w:bottom w:type="dxa" w:w="900"/>
              <w:right w:type="dxa" w:w="720"/>
            </w:tcMar>
          </w:tcPr>
          <w:p>
            <w:pPr>
              <w:spacing w:after="240" w:before="0"/>
              <w:jc w:val="center"/>
            </w:pPr>
            <w:r>
              <w:drawing>
                <wp:inline distT="0" distB="0" distL="0" distR="0">
                  <wp:extent cx="1381125" cy="1476375"/>
                  <wp:effectExtent t="0" r="0" b="0" l="0"/>
                  <wp:docPr id="1" name="ATANDA" descr="Logo" title="ATA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 w:before="0"/>
              <w:jc w:val="center"/>
            </w:pPr>
            <w:r>
              <w:rPr>
                <w:b/>
                <w:bCs/>
                <w:color w:val="CC2200"/>
                <w:sz w:val="22"/>
                <w:szCs w:val="22"/>
              </w:rPr>
              <w:t xml:space="preserve">━━━━</w:t>
            </w:r>
            <w:r>
              <w:rPr>
                <w:b/>
                <w:bCs/>
                <w:color w:val="FDCC00"/>
                <w:sz w:val="22"/>
                <w:szCs w:val="22"/>
              </w:rPr>
              <w:t xml:space="preserve">━━━━</w:t>
            </w:r>
            <w:r>
              <w:rPr>
                <w:b/>
                <w:bCs/>
                <w:color w:val="1A7FE0"/>
                <w:sz w:val="22"/>
                <w:szCs w:val="22"/>
              </w:rPr>
              <w:t xml:space="preserve">━━━━</w:t>
            </w:r>
            <w:r>
              <w:rPr>
                <w:b/>
                <w:bCs/>
                <w:color w:val="1A9B3A"/>
                <w:sz w:val="22"/>
                <w:szCs w:val="22"/>
              </w:rPr>
              <w:t xml:space="preserve">━━━━</w:t>
            </w:r>
            <w:r>
              <w:rPr>
                <w:b/>
                <w:bCs/>
                <w:color w:val="7B35E0"/>
                <w:sz w:val="22"/>
                <w:szCs w:val="22"/>
              </w:rPr>
              <w:t xml:space="preserve">━━━━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BBBBBB"/>
                <w:spacing w:val="100"/>
                <w:sz w:val="19"/>
                <w:szCs w:val="19"/>
              </w:rPr>
              <w:t xml:space="preserve">Series 03  ·  ATANDA Whitepaper Library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CONTEXT CRAFT KCSE RANKINGS V4</w:t>
            </w:r>
          </w:p>
          <w:p>
            <w:pPr>
              <w:spacing w:after="2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4"/>
                <w:szCs w:val="24"/>
              </w:rPr>
              <w:t xml:space="preserve">Fourth Edition Quality Rankings with Updated Benchmark Data</w:t>
            </w:r>
          </w:p>
          <w:p>
            <w:pPr>
              <w:spacing w:after="280" w:before="0"/>
              <w:jc w:val="center"/>
            </w:pPr>
            <w:r>
              <w:rPr>
                <w:color w:val="AAAAAA"/>
                <w:sz w:val="20"/>
                <w:szCs w:val="20"/>
              </w:rPr>
              <w:t xml:space="preserve">─────────────────────────────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Practitioner Reference  ·  March 2026  ·  ATANDA Training &amp; Learning Systems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CC00"/>
                <w:spacing w:val="220"/>
                <w:sz w:val="21"/>
                <w:szCs w:val="21"/>
              </w:rPr>
              <w:t xml:space="preserve">LET YOUR LIGHT SHINE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70" w:before="360"/>
      </w:pPr>
      <w:r>
        <w:rPr>
          <w:rFonts w:ascii="Arial" w:cs="Arial" w:eastAsia="Arial" w:hAnsi="Arial"/>
          <w:b/>
          <w:bCs/>
          <w:color w:val="C45228"/>
          <w:sz w:val="34"/>
          <w:szCs w:val="34"/>
        </w:rPr>
        <w:t xml:space="preserve">  </w:t>
      </w: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DOCUMENT INFORMATION</w:t>
      </w:r>
    </w:p>
    <w:p>
      <w:pPr>
        <w:pBdr>
          <w:bottom w:val="single" w:color="C45228" w:sz="8" w:space="1"/>
        </w:pBdr>
        <w:spacing w:after="120" w:before="0"/>
      </w:pPr>
      <w:r>
        <w:t xml:space="preserve"/>
      </w:r>
    </w:p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C45228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CC00"/>
                <w:sz w:val="19"/>
                <w:szCs w:val="19"/>
              </w:rPr>
              <w:t xml:space="preserve">Title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Craft KCSE Rankings v4</w:t>
            </w:r>
          </w:p>
        </w:tc>
      </w:tr>
      <w:tr>
        <w:tc>
          <w:tcPr>
            <w:tcW w:type="dxa" w:w="288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1A2F5E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CC00"/>
                <w:sz w:val="19"/>
                <w:szCs w:val="19"/>
              </w:rPr>
              <w:t xml:space="preserve">Series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03 of 17  ·  ATANDA Library</w:t>
            </w:r>
          </w:p>
        </w:tc>
      </w:tr>
      <w:tr>
        <w:tc>
          <w:tcPr>
            <w:tcW w:type="dxa" w:w="288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C45228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CC00"/>
                <w:sz w:val="19"/>
                <w:szCs w:val="19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  —  2025/2026</w:t>
            </w:r>
          </w:p>
        </w:tc>
      </w:tr>
      <w:tr>
        <w:tc>
          <w:tcPr>
            <w:tcW w:type="dxa" w:w="288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1A2F5E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CC00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Practitioner Reference</w:t>
            </w:r>
          </w:p>
        </w:tc>
      </w:tr>
      <w:tr>
        <w:tc>
          <w:tcPr>
            <w:tcW w:type="dxa" w:w="288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C45228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CC00"/>
                <w:sz w:val="19"/>
                <w:szCs w:val="19"/>
              </w:rPr>
              <w:t xml:space="preserve">Subject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Fourth Edition Quality Rankings with Updated Benchmark Data</w:t>
            </w:r>
          </w:p>
        </w:tc>
      </w:tr>
      <w:tr>
        <w:tc>
          <w:tcPr>
            <w:tcW w:type="dxa" w:w="288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1A2F5E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CC00"/>
                <w:sz w:val="19"/>
                <w:szCs w:val="19"/>
              </w:rPr>
              <w:t xml:space="preserve">Author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ATANDA Knowledge Systems</w:t>
            </w:r>
          </w:p>
        </w:tc>
      </w:tr>
      <w:tr>
        <w:tc>
          <w:tcPr>
            <w:tcW w:type="dxa" w:w="288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C45228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CC00"/>
                <w:sz w:val="19"/>
                <w:szCs w:val="19"/>
              </w:rPr>
              <w:t xml:space="preserve">Review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Annual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70" w:before="360"/>
      </w:pPr>
      <w:r>
        <w:rPr>
          <w:rFonts w:ascii="Arial" w:cs="Arial" w:eastAsia="Arial" w:hAnsi="Arial"/>
          <w:b/>
          <w:bCs/>
          <w:color w:val="C45228"/>
          <w:sz w:val="34"/>
          <w:szCs w:val="34"/>
        </w:rPr>
        <w:t xml:space="preserve">  </w:t>
      </w: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TABLE OF CONTENTS</w:t>
      </w:r>
    </w:p>
    <w:p>
      <w:pPr>
        <w:pBdr>
          <w:bottom w:val="single" w:color="C45228" w:sz="8" w:space="1"/>
        </w:pBdr>
        <w:spacing w:after="120" w:before="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70" w:before="360"/>
      </w:pPr>
      <w:r>
        <w:rPr>
          <w:rFonts w:ascii="Arial" w:cs="Arial" w:eastAsia="Arial" w:hAnsi="Arial"/>
          <w:b/>
          <w:bCs/>
          <w:color w:val="C45228"/>
          <w:sz w:val="34"/>
          <w:szCs w:val="34"/>
        </w:rPr>
        <w:t xml:space="preserve">01  </w:t>
      </w: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EXECUTIVE SUMMARY</w:t>
      </w:r>
    </w:p>
    <w:p>
      <w:pPr>
        <w:pBdr>
          <w:bottom w:val="single" w:color="C45228" w:sz="8" w:space="1"/>
        </w:pBdr>
        <w:spacing w:after="120" w:before="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Fourth edition KCSE Rankings incorporating benchmark data from over 1200 enterprise context deployments conducted in 2025, the most statistically robust quality rankings to date.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C4522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Rankings based on 1200+ enterprise deployments across 14 industry sectors.</w:t>
            </w:r>
          </w:p>
        </w:tc>
      </w:tr>
      <w:tr>
        <w:tc>
          <w:tcPr>
            <w:tcW w:type="dxa" w:w="30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C4522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New Reliability Score added alongside KCSE score to capture deployment consistency.</w:t>
            </w:r>
          </w:p>
        </w:tc>
      </w:tr>
      <w:tr>
        <w:tc>
          <w:tcPr>
            <w:tcW w:type="dxa" w:w="30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C4522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Domain-specific rankings introduced: Financial Services, Healthcare, Legal, Technology.</w:t>
            </w:r>
          </w:p>
        </w:tc>
      </w:tr>
      <w:tr>
        <w:tc>
          <w:tcPr>
            <w:tcW w:type="dxa" w:w="30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C4522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KCSE framework ensures only production-validated cards are included.</w:t>
            </w:r>
          </w:p>
        </w:tc>
      </w:tr>
      <w:tr>
        <w:tc>
          <w:tcPr>
            <w:tcW w:type="dxa" w:w="300"/>
            <w:tcBorders>
              <w:top w:val="single" w:color="C45228" w:sz="1"/>
              <w:left w:val="single" w:color="C45228" w:sz="1"/>
              <w:bottom w:val="single" w:color="C45228" w:sz="1"/>
              <w:right w:val="single" w:color="C45228" w:sz="1"/>
            </w:tcBorders>
            <w:shd w:fill="C4522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Context Craft practitioners outperform unstructured prompters by 40-60% on quality benchmarks.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70" w:before="360"/>
      </w:pPr>
      <w:r>
        <w:rPr>
          <w:rFonts w:ascii="Arial" w:cs="Arial" w:eastAsia="Arial" w:hAnsi="Arial"/>
          <w:b/>
          <w:bCs/>
          <w:color w:val="C45228"/>
          <w:sz w:val="34"/>
          <w:szCs w:val="34"/>
        </w:rPr>
        <w:t xml:space="preserve">02  </w:t>
      </w: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CORE CONCEPTS</w:t>
      </w:r>
    </w:p>
    <w:p>
      <w:pPr>
        <w:pBdr>
          <w:bottom w:val="single" w:color="C45228" w:sz="8" w:space="1"/>
        </w:pBdr>
        <w:spacing w:after="120" w:before="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Foundational concepts practitioners must understand before applying Context Craft.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8753A"/>
          <w:sz w:val="26"/>
          <w:szCs w:val="26"/>
        </w:rPr>
        <w:t xml:space="preserve">2.1  The Four Context Types</w:t>
      </w:r>
    </w:p>
    <w:p>
      <w:pPr>
        <w:spacing w:after="0" w:before="4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effective AI context combines Role (who the AI is), Task (what it must do), Knowledge (what it knows), and Evaluation (how quality is measured).</w:t>
      </w:r>
    </w:p>
    <w:p>
      <w:pPr>
        <w:spacing w:after="0" w:before="40"/>
      </w:pPr>
      <w:r>
        <w:t xml:space="preserve"/>
      </w:r>
    </w:p>
    <w:p>
      <w:pPr>
        <w:spacing w:after="0" w:before="5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E8753A" w:sz="18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53A"/>
                <w:sz w:val="17"/>
                <w:szCs w:val="17"/>
              </w:rPr>
              <w:t xml:space="preserve">CORE INSIGHT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Most practitioners focus 80% of effort on Task context. The biggest quality improvements come from investing equally across all four types.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8753A"/>
          <w:sz w:val="26"/>
          <w:szCs w:val="26"/>
        </w:rPr>
        <w:t xml:space="preserve">2.2  KCSE Scoring</w:t>
      </w:r>
    </w:p>
    <w:p>
      <w:pPr>
        <w:spacing w:after="0" w:before="4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KCSE scores measure Knowledge depth, Clarity, Specificity, and Evaluation measurability on a 10-point scale. Cards must score 7+ across all four dimensions for production use.</w:t>
      </w:r>
    </w:p>
    <w:p>
      <w:pPr>
        <w:spacing w:after="0" w:before="40"/>
      </w:pPr>
      <w:r>
        <w:t xml:space="preserve"/>
      </w:r>
    </w:p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spacing w:after="70" w:before="360"/>
      </w:pPr>
      <w:r>
        <w:rPr>
          <w:rFonts w:ascii="Arial" w:cs="Arial" w:eastAsia="Arial" w:hAnsi="Arial"/>
          <w:b/>
          <w:bCs/>
          <w:color w:val="C45228"/>
          <w:sz w:val="34"/>
          <w:szCs w:val="34"/>
        </w:rPr>
        <w:t xml:space="preserve">03  </w:t>
      </w: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APPLICATION GUIDE</w:t>
      </w:r>
    </w:p>
    <w:p>
      <w:pPr>
        <w:pBdr>
          <w:bottom w:val="single" w:color="C45228" w:sz="8" w:space="1"/>
        </w:pBdr>
        <w:spacing w:after="120" w:before="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How to apply Context Craft in enterprise AI deployments.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8753A"/>
          <w:sz w:val="26"/>
          <w:szCs w:val="26"/>
        </w:rPr>
        <w:t xml:space="preserve">3.1  Context Audit Process</w:t>
      </w:r>
    </w:p>
    <w:p>
      <w:pPr>
        <w:spacing w:after="0" w:before="4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Assess your three highest-value AI use cases. Score current Role, Task, Knowledge, and Evaluation context quality on 1-10. This baseline guides your improvement roadmap.</w:t>
      </w:r>
    </w:p>
    <w:p>
      <w:pPr>
        <w:spacing w:after="0" w:before="4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E8753A"/>
          <w:sz w:val="26"/>
          <w:szCs w:val="26"/>
        </w:rPr>
        <w:t xml:space="preserve">3.2  Card Selection Strategy</w:t>
      </w:r>
    </w:p>
    <w:p>
      <w:pPr>
        <w:spacing w:after="0" w:before="4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Begin with the four foundation cards: CC-R-001 Expert Role, CC-K-003 Domain Knowledge, CC-E-001 Quality Benchmark, CC-F-001 Context Frame. These four cards address 80% of context quality gaps.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CC-R-001: Expert Role Framing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CC-K-003: Domain Knowledge Briefing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CC-E-001: Quality Benchmark Setting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CC-F-001: Context Frame</w:t>
      </w:r>
    </w:p>
    <w:p>
      <w:pPr>
        <w:spacing w:after="0" w:before="40"/>
      </w:pPr>
      <w:r>
        <w:t xml:space="preserve"/>
      </w:r>
    </w:p>
    <w:p>
      <w:pPr>
        <w:spacing w:after="0" w:before="50"/>
      </w:pPr>
      <w:r>
        <w:t xml:space="preserve"/>
      </w:r>
    </w:p>
    <w:p>
      <w:pPr>
        <w:pBdr>
          <w:bottom w:val="single" w:color="CCCCCC" w:sz="2" w:space="1"/>
        </w:pBdr>
        <w:spacing w:after="80" w:before="40"/>
      </w:pPr>
      <w:r>
        <w:t xml:space="preserve"/>
      </w:r>
    </w:p>
    <w:p>
      <w:pPr>
        <w:spacing w:after="70" w:before="10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References &amp; Related Documents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Context Craft Complete Card Inventory — ATANDA, 2025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Context Craft Evolution — ATANDA, 2025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BONSAI Promptware ONE — ATANDA, 2025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0"/>
              <w:left w:type="dxa" w:w="720"/>
              <w:bottom w:type="dxa" w:w="1200"/>
              <w:right w:type="dxa" w:w="720"/>
            </w:tcMar>
          </w:tcPr>
          <w:p>
            <w:pPr>
              <w:spacing w:after="200" w:before="0"/>
              <w:jc w:val="center"/>
            </w:pPr>
            <w:r>
              <w:drawing>
                <wp:inline distT="0" distB="0" distL="0" distR="0">
                  <wp:extent cx="1047750" cy="1123950"/>
                  <wp:effectExtent t="0" r="0" b="0" l="0"/>
                  <wp:docPr id="1" name="ATANDA" descr="Logo" title="ATA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b/>
                <w:bCs/>
                <w:color w:val="CC2200"/>
                <w:sz w:val="20"/>
                <w:szCs w:val="20"/>
              </w:rPr>
              <w:t xml:space="preserve">━━━</w:t>
            </w:r>
            <w:r>
              <w:rPr>
                <w:b/>
                <w:bCs/>
                <w:color w:val="FDCC00"/>
                <w:sz w:val="20"/>
                <w:szCs w:val="20"/>
              </w:rPr>
              <w:t xml:space="preserve">━━━</w:t>
            </w:r>
            <w:r>
              <w:rPr>
                <w:b/>
                <w:bCs/>
                <w:color w:val="1A7FE0"/>
                <w:sz w:val="20"/>
                <w:szCs w:val="20"/>
              </w:rPr>
              <w:t xml:space="preserve">━━━</w:t>
            </w:r>
            <w:r>
              <w:rPr>
                <w:b/>
                <w:bCs/>
                <w:color w:val="1A9B3A"/>
                <w:sz w:val="20"/>
                <w:szCs w:val="20"/>
              </w:rPr>
              <w:t xml:space="preserve">━━━</w:t>
            </w:r>
            <w:r>
              <w:rPr>
                <w:b/>
                <w:bCs/>
                <w:color w:val="7B35E0"/>
                <w:sz w:val="20"/>
                <w:szCs w:val="20"/>
              </w:rPr>
              <w:t xml:space="preserve">━━━</w:t>
            </w:r>
          </w:p>
          <w:p>
            <w:pPr>
              <w:spacing w:after="100" w:before="0"/>
              <w:jc w:val="center"/>
            </w:pPr>
            <w:r>
              <w:rPr>
                <w:color w:val="FDCC00"/>
                <w:spacing w:val="80"/>
                <w:sz w:val="17"/>
                <w:szCs w:val="17"/>
              </w:rPr>
              <w:t xml:space="preserve">TRAINING  ·  LEARNING SYSTEMS  ·  DIGITAL PRODUCT DESIGN</w:t>
            </w:r>
          </w:p>
          <w:p>
            <w:pPr>
              <w:spacing w:after="180" w:before="0"/>
              <w:jc w:val="center"/>
            </w:pPr>
            <w:r>
              <w:rPr>
                <w:b/>
                <w:bCs/>
                <w:color w:val="FFFFFF"/>
                <w:spacing w:val="200"/>
                <w:sz w:val="21"/>
                <w:szCs w:val="21"/>
              </w:rPr>
              <w:t xml:space="preserve">LET YOUR LIGHT SHINE</w:t>
            </w:r>
          </w:p>
          <w:p>
            <w:pPr>
              <w:jc w:val="center"/>
            </w:pPr>
            <w:r>
              <w:rPr>
                <w:color w:val="888888"/>
                <w:sz w:val="15"/>
                <w:szCs w:val="15"/>
              </w:rPr>
              <w:t xml:space="preserve">© 2026 ATANDA Training &amp; Learning Systems. All rights reserved.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35E0" w:sz="4" w:space="1"/>
      </w:pBdr>
      <w:tabs>
        <w:tab w:val="right" w:pos="9026"/>
      </w:tabs>
      <w:spacing w:after="0" w:before="70"/>
    </w:pPr>
    <w:r>
      <w:rPr>
        <w:rFonts w:ascii="Arial" w:cs="Arial" w:eastAsia="Arial" w:hAnsi="Arial"/>
        <w:color w:val="777777"/>
        <w:sz w:val="15"/>
        <w:szCs w:val="15"/>
      </w:rPr>
      <w:t xml:space="preserve">© 2026 ATANDA Training &amp; Learning Systems  ·  CONFIDENTIAL</w:t>
    </w:r>
    <w:r>
      <w:t xml:space="preserve">	</w:t>
    </w:r>
    <w:r>
      <w:rPr>
        <w:rFonts w:ascii="Arial" w:cs="Arial" w:eastAsia="Arial" w:hAnsi="Arial"/>
        <w:color w:val="777777"/>
        <w:sz w:val="15"/>
        <w:szCs w:val="15"/>
      </w:rPr>
      <w:t xml:space="preserve">Page </w:t>
    </w:r>
    <w:r>
      <w:rPr>
        <w:rFonts w:ascii="Arial" w:cs="Arial" w:eastAsia="Arial" w:hAnsi="Arial"/>
        <w:b/>
        <w:bCs/>
        <w:color w:val="C4522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5228" w:sz="4" w:space="1"/>
      </w:pBdr>
      <w:tabs>
        <w:tab w:val="right" w:pos="9026"/>
      </w:tabs>
      <w:spacing w:after="70" w:before="0"/>
    </w:pPr>
    <w:r>
      <w:rPr>
        <w:rFonts w:ascii="Arial Black" w:cs="Arial Black" w:eastAsia="Arial Black" w:hAnsi="Arial Black"/>
        <w:b/>
        <w:bCs/>
        <w:color w:val="C45228"/>
        <w:sz w:val="19"/>
        <w:szCs w:val="19"/>
      </w:rPr>
      <w:t xml:space="preserve">ATANDA</w:t>
    </w:r>
    <w:r>
      <w:rPr>
        <w:rFonts w:ascii="Arial" w:cs="Arial" w:eastAsia="Arial" w:hAnsi="Arial"/>
        <w:color w:val="777777"/>
        <w:sz w:val="17"/>
        <w:szCs w:val="17"/>
      </w:rPr>
      <w:t xml:space="preserve">  |  Context Craft KCSE Rankings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00" w:hanging="350"/>
      </w:pPr>
      <w:rPr>
        <w:rFonts w:ascii="Arial" w:cs="Arial" w:eastAsia="Arial" w:hAnsi="Arial"/>
        <w:b/>
        <w:bCs/>
        <w:color w:val="C452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360"/>
      <w:outlineLvl w:val="0"/>
    </w:pPr>
    <w:rPr>
      <w:rFonts w:ascii="Arial" w:cs="Arial" w:eastAsia="Arial" w:hAnsi="Arial"/>
      <w:b/>
      <w:bCs/>
      <w:color w:val="0D1B3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E875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C452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04e979c1d4f9b0174512f661a04c20fcb4be24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2026-03-20T00:56:22.218Z</dcterms:created>
  <dcterms:modified xsi:type="dcterms:W3CDTF">2026-03-20T00:56:22.218Z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