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E1274" w14:textId="7B9DD064" w:rsidR="008943A1" w:rsidRPr="008943A1" w:rsidRDefault="008943A1" w:rsidP="008943A1">
      <w:pPr>
        <w:rPr>
          <w:b/>
          <w:bCs/>
        </w:rPr>
      </w:pPr>
      <w:proofErr w:type="spellStart"/>
      <w:r w:rsidRPr="008943A1">
        <w:rPr>
          <w:b/>
          <w:bCs/>
        </w:rPr>
        <w:t>Transglutaminas</w:t>
      </w:r>
      <w:proofErr w:type="spellEnd"/>
      <w:r w:rsidRPr="008943A1">
        <w:rPr>
          <w:b/>
          <w:bCs/>
        </w:rPr>
        <w:t>-crosslinking | Acylation | glycation</w:t>
      </w:r>
    </w:p>
    <w:tbl>
      <w:tblPr>
        <w:tblStyle w:val="TableGrid"/>
        <w:tblW w:w="0" w:type="auto"/>
        <w:tblLook w:val="04A0" w:firstRow="1" w:lastRow="0" w:firstColumn="1" w:lastColumn="0" w:noHBand="0" w:noVBand="1"/>
      </w:tblPr>
      <w:tblGrid>
        <w:gridCol w:w="1281"/>
        <w:gridCol w:w="2268"/>
        <w:gridCol w:w="3064"/>
        <w:gridCol w:w="2737"/>
      </w:tblGrid>
      <w:tr w:rsidR="008943A1" w:rsidRPr="008943A1" w14:paraId="421A78B3" w14:textId="77777777" w:rsidTr="008943A1">
        <w:tc>
          <w:tcPr>
            <w:tcW w:w="0" w:type="auto"/>
            <w:hideMark/>
          </w:tcPr>
          <w:p w14:paraId="3676D7AA" w14:textId="77777777" w:rsidR="008943A1" w:rsidRPr="008943A1" w:rsidRDefault="008943A1" w:rsidP="008943A1">
            <w:pPr>
              <w:spacing w:after="160" w:line="278" w:lineRule="auto"/>
            </w:pPr>
          </w:p>
        </w:tc>
        <w:tc>
          <w:tcPr>
            <w:tcW w:w="0" w:type="auto"/>
            <w:hideMark/>
          </w:tcPr>
          <w:p w14:paraId="083C6157" w14:textId="77777777" w:rsidR="008943A1" w:rsidRPr="008943A1" w:rsidRDefault="008943A1" w:rsidP="008943A1">
            <w:pPr>
              <w:spacing w:after="160" w:line="278" w:lineRule="auto"/>
              <w:rPr>
                <w:b/>
                <w:bCs/>
              </w:rPr>
            </w:pPr>
            <w:r w:rsidRPr="008943A1">
              <w:rPr>
                <w:b/>
                <w:bCs/>
              </w:rPr>
              <w:t>Transglutaminase crosslinking</w:t>
            </w:r>
          </w:p>
        </w:tc>
        <w:tc>
          <w:tcPr>
            <w:tcW w:w="0" w:type="auto"/>
            <w:hideMark/>
          </w:tcPr>
          <w:p w14:paraId="0F6EEC26" w14:textId="77777777" w:rsidR="008943A1" w:rsidRPr="008943A1" w:rsidRDefault="008943A1" w:rsidP="008943A1">
            <w:pPr>
              <w:spacing w:after="160" w:line="278" w:lineRule="auto"/>
              <w:rPr>
                <w:b/>
                <w:bCs/>
              </w:rPr>
            </w:pPr>
            <w:r w:rsidRPr="008943A1">
              <w:rPr>
                <w:b/>
                <w:bCs/>
              </w:rPr>
              <w:t>Acylation (acetylation/</w:t>
            </w:r>
            <w:proofErr w:type="spellStart"/>
            <w:r w:rsidRPr="008943A1">
              <w:rPr>
                <w:b/>
                <w:bCs/>
              </w:rPr>
              <w:t>succinylation</w:t>
            </w:r>
            <w:proofErr w:type="spellEnd"/>
            <w:r w:rsidRPr="008943A1">
              <w:rPr>
                <w:b/>
                <w:bCs/>
              </w:rPr>
              <w:t>)</w:t>
            </w:r>
          </w:p>
        </w:tc>
        <w:tc>
          <w:tcPr>
            <w:tcW w:w="0" w:type="auto"/>
            <w:hideMark/>
          </w:tcPr>
          <w:p w14:paraId="2D66215B" w14:textId="77777777" w:rsidR="008943A1" w:rsidRPr="008943A1" w:rsidRDefault="008943A1" w:rsidP="008943A1">
            <w:pPr>
              <w:spacing w:after="160" w:line="278" w:lineRule="auto"/>
              <w:rPr>
                <w:b/>
                <w:bCs/>
              </w:rPr>
            </w:pPr>
            <w:r w:rsidRPr="008943A1">
              <w:rPr>
                <w:b/>
                <w:bCs/>
              </w:rPr>
              <w:t>Glycation (Maillard)</w:t>
            </w:r>
          </w:p>
        </w:tc>
      </w:tr>
      <w:tr w:rsidR="008943A1" w:rsidRPr="008943A1" w14:paraId="3B53886F" w14:textId="77777777" w:rsidTr="008943A1">
        <w:tc>
          <w:tcPr>
            <w:tcW w:w="0" w:type="auto"/>
            <w:hideMark/>
          </w:tcPr>
          <w:p w14:paraId="0C95404D" w14:textId="77777777" w:rsidR="008943A1" w:rsidRPr="008943A1" w:rsidRDefault="008943A1" w:rsidP="008943A1">
            <w:pPr>
              <w:spacing w:after="160" w:line="278" w:lineRule="auto"/>
            </w:pPr>
            <w:r w:rsidRPr="008943A1">
              <w:rPr>
                <w:b/>
                <w:bCs/>
              </w:rPr>
              <w:t>Driver</w:t>
            </w:r>
          </w:p>
        </w:tc>
        <w:tc>
          <w:tcPr>
            <w:tcW w:w="0" w:type="auto"/>
            <w:hideMark/>
          </w:tcPr>
          <w:p w14:paraId="54D07235" w14:textId="77777777" w:rsidR="008943A1" w:rsidRPr="008943A1" w:rsidRDefault="008943A1" w:rsidP="008943A1">
            <w:pPr>
              <w:spacing w:after="160" w:line="278" w:lineRule="auto"/>
            </w:pPr>
            <w:r w:rsidRPr="008943A1">
              <w:t>Enzyme (transglutaminase)</w:t>
            </w:r>
          </w:p>
        </w:tc>
        <w:tc>
          <w:tcPr>
            <w:tcW w:w="0" w:type="auto"/>
            <w:hideMark/>
          </w:tcPr>
          <w:p w14:paraId="5BBA49D9" w14:textId="77777777" w:rsidR="008943A1" w:rsidRPr="008943A1" w:rsidRDefault="008943A1" w:rsidP="008943A1">
            <w:pPr>
              <w:spacing w:after="160" w:line="278" w:lineRule="auto"/>
            </w:pPr>
            <w:r w:rsidRPr="008943A1">
              <w:t>Chemical reagent (acetic anhydride / succinic anhydride)</w:t>
            </w:r>
          </w:p>
        </w:tc>
        <w:tc>
          <w:tcPr>
            <w:tcW w:w="0" w:type="auto"/>
            <w:hideMark/>
          </w:tcPr>
          <w:p w14:paraId="14AFE792" w14:textId="77777777" w:rsidR="008943A1" w:rsidRPr="008943A1" w:rsidRDefault="008943A1" w:rsidP="008943A1">
            <w:pPr>
              <w:spacing w:after="160" w:line="278" w:lineRule="auto"/>
            </w:pPr>
            <w:r w:rsidRPr="008943A1">
              <w:t>Heat + reducing sugar (no enzyme, no separate reagent beyond the sugar itself)</w:t>
            </w:r>
          </w:p>
        </w:tc>
      </w:tr>
      <w:tr w:rsidR="008943A1" w:rsidRPr="008943A1" w14:paraId="728F0C12" w14:textId="77777777" w:rsidTr="008943A1">
        <w:tc>
          <w:tcPr>
            <w:tcW w:w="0" w:type="auto"/>
            <w:hideMark/>
          </w:tcPr>
          <w:p w14:paraId="0EA5CD3D" w14:textId="77777777" w:rsidR="008943A1" w:rsidRPr="008943A1" w:rsidRDefault="008943A1" w:rsidP="008943A1">
            <w:pPr>
              <w:spacing w:after="160" w:line="278" w:lineRule="auto"/>
            </w:pPr>
            <w:proofErr w:type="gramStart"/>
            <w:r w:rsidRPr="008943A1">
              <w:rPr>
                <w:b/>
                <w:bCs/>
              </w:rPr>
              <w:t>Reacting</w:t>
            </w:r>
            <w:proofErr w:type="gramEnd"/>
            <w:r w:rsidRPr="008943A1">
              <w:rPr>
                <w:b/>
                <w:bCs/>
              </w:rPr>
              <w:t xml:space="preserve"> protein group</w:t>
            </w:r>
          </w:p>
        </w:tc>
        <w:tc>
          <w:tcPr>
            <w:tcW w:w="0" w:type="auto"/>
            <w:hideMark/>
          </w:tcPr>
          <w:p w14:paraId="09BF5882" w14:textId="77777777" w:rsidR="008943A1" w:rsidRPr="008943A1" w:rsidRDefault="008943A1" w:rsidP="008943A1">
            <w:pPr>
              <w:spacing w:after="160" w:line="278" w:lineRule="auto"/>
            </w:pPr>
            <w:r w:rsidRPr="008943A1">
              <w:t>Glutamine (donor) + lysine (acceptor)</w:t>
            </w:r>
          </w:p>
        </w:tc>
        <w:tc>
          <w:tcPr>
            <w:tcW w:w="0" w:type="auto"/>
            <w:hideMark/>
          </w:tcPr>
          <w:p w14:paraId="0CB32150" w14:textId="77777777" w:rsidR="008943A1" w:rsidRPr="008943A1" w:rsidRDefault="008943A1" w:rsidP="008943A1">
            <w:pPr>
              <w:spacing w:after="160" w:line="278" w:lineRule="auto"/>
            </w:pPr>
            <w:r w:rsidRPr="008943A1">
              <w:t>Lysine's free amine group (and N-terminus)</w:t>
            </w:r>
          </w:p>
        </w:tc>
        <w:tc>
          <w:tcPr>
            <w:tcW w:w="0" w:type="auto"/>
            <w:hideMark/>
          </w:tcPr>
          <w:p w14:paraId="4F11A260" w14:textId="77777777" w:rsidR="008943A1" w:rsidRPr="008943A1" w:rsidRDefault="008943A1" w:rsidP="008943A1">
            <w:pPr>
              <w:spacing w:after="160" w:line="278" w:lineRule="auto"/>
            </w:pPr>
            <w:r w:rsidRPr="008943A1">
              <w:t>Lysine's free amine group (and N-terminus)</w:t>
            </w:r>
          </w:p>
        </w:tc>
      </w:tr>
      <w:tr w:rsidR="008943A1" w:rsidRPr="008943A1" w14:paraId="2D71AD9A" w14:textId="77777777" w:rsidTr="008943A1">
        <w:tc>
          <w:tcPr>
            <w:tcW w:w="0" w:type="auto"/>
            <w:hideMark/>
          </w:tcPr>
          <w:p w14:paraId="74CF0E84" w14:textId="77777777" w:rsidR="008943A1" w:rsidRPr="008943A1" w:rsidRDefault="008943A1" w:rsidP="008943A1">
            <w:pPr>
              <w:spacing w:after="160" w:line="278" w:lineRule="auto"/>
            </w:pPr>
            <w:r w:rsidRPr="008943A1">
              <w:rPr>
                <w:b/>
                <w:bCs/>
              </w:rPr>
              <w:t>Partner molecule</w:t>
            </w:r>
          </w:p>
        </w:tc>
        <w:tc>
          <w:tcPr>
            <w:tcW w:w="0" w:type="auto"/>
            <w:hideMark/>
          </w:tcPr>
          <w:p w14:paraId="466CC115" w14:textId="77777777" w:rsidR="008943A1" w:rsidRPr="008943A1" w:rsidRDefault="008943A1" w:rsidP="008943A1">
            <w:pPr>
              <w:spacing w:after="160" w:line="278" w:lineRule="auto"/>
            </w:pPr>
            <w:r w:rsidRPr="008943A1">
              <w:t>Another protein chain (or same chain, different site)</w:t>
            </w:r>
          </w:p>
        </w:tc>
        <w:tc>
          <w:tcPr>
            <w:tcW w:w="0" w:type="auto"/>
            <w:hideMark/>
          </w:tcPr>
          <w:p w14:paraId="55382875" w14:textId="77777777" w:rsidR="008943A1" w:rsidRPr="008943A1" w:rsidRDefault="008943A1" w:rsidP="008943A1">
            <w:pPr>
              <w:spacing w:after="160" w:line="278" w:lineRule="auto"/>
            </w:pPr>
            <w:r w:rsidRPr="008943A1">
              <w:t>Small acyl-group-donating reagent</w:t>
            </w:r>
          </w:p>
        </w:tc>
        <w:tc>
          <w:tcPr>
            <w:tcW w:w="0" w:type="auto"/>
            <w:hideMark/>
          </w:tcPr>
          <w:p w14:paraId="6674E492" w14:textId="77777777" w:rsidR="008943A1" w:rsidRPr="008943A1" w:rsidRDefault="008943A1" w:rsidP="008943A1">
            <w:pPr>
              <w:spacing w:after="160" w:line="278" w:lineRule="auto"/>
            </w:pPr>
            <w:r w:rsidRPr="008943A1">
              <w:t>A sugar molecule (glucose, xylose, lactose, etc.)</w:t>
            </w:r>
          </w:p>
        </w:tc>
      </w:tr>
      <w:tr w:rsidR="008943A1" w:rsidRPr="008943A1" w14:paraId="7468E8B4" w14:textId="77777777" w:rsidTr="008943A1">
        <w:tc>
          <w:tcPr>
            <w:tcW w:w="0" w:type="auto"/>
            <w:hideMark/>
          </w:tcPr>
          <w:p w14:paraId="7D1DAA62" w14:textId="77777777" w:rsidR="008943A1" w:rsidRPr="008943A1" w:rsidRDefault="008943A1" w:rsidP="008943A1">
            <w:pPr>
              <w:spacing w:after="160" w:line="278" w:lineRule="auto"/>
            </w:pPr>
            <w:r w:rsidRPr="008943A1">
              <w:rPr>
                <w:b/>
                <w:bCs/>
              </w:rPr>
              <w:t>Bond formed</w:t>
            </w:r>
          </w:p>
        </w:tc>
        <w:tc>
          <w:tcPr>
            <w:tcW w:w="0" w:type="auto"/>
            <w:hideMark/>
          </w:tcPr>
          <w:p w14:paraId="761E6FB4" w14:textId="77777777" w:rsidR="008943A1" w:rsidRPr="008943A1" w:rsidRDefault="008943A1" w:rsidP="008943A1">
            <w:pPr>
              <w:spacing w:after="160" w:line="278" w:lineRule="auto"/>
            </w:pPr>
            <w:proofErr w:type="spellStart"/>
            <w:r w:rsidRPr="008943A1">
              <w:t>Isopeptide</w:t>
            </w:r>
            <w:proofErr w:type="spellEnd"/>
            <w:r w:rsidRPr="008943A1">
              <w:t xml:space="preserve"> bond (C–N amide bond between glutamine and lysine)</w:t>
            </w:r>
          </w:p>
        </w:tc>
        <w:tc>
          <w:tcPr>
            <w:tcW w:w="0" w:type="auto"/>
            <w:hideMark/>
          </w:tcPr>
          <w:p w14:paraId="08B04135" w14:textId="77777777" w:rsidR="008943A1" w:rsidRPr="008943A1" w:rsidRDefault="008943A1" w:rsidP="008943A1">
            <w:pPr>
              <w:spacing w:after="160" w:line="278" w:lineRule="auto"/>
            </w:pPr>
            <w:r w:rsidRPr="008943A1">
              <w:t>Amide bond between lysine's amine and the acyl group</w:t>
            </w:r>
          </w:p>
        </w:tc>
        <w:tc>
          <w:tcPr>
            <w:tcW w:w="0" w:type="auto"/>
            <w:hideMark/>
          </w:tcPr>
          <w:p w14:paraId="6CC2489F" w14:textId="77777777" w:rsidR="008943A1" w:rsidRPr="008943A1" w:rsidRDefault="008943A1" w:rsidP="008943A1">
            <w:pPr>
              <w:spacing w:after="160" w:line="278" w:lineRule="auto"/>
            </w:pPr>
            <w:r w:rsidRPr="008943A1">
              <w:t>Schiff base → Amadori rearrangement product (C–N bond between amine and sugar carbonyl)</w:t>
            </w:r>
          </w:p>
        </w:tc>
      </w:tr>
      <w:tr w:rsidR="008943A1" w:rsidRPr="008943A1" w14:paraId="04A3DAB4" w14:textId="77777777" w:rsidTr="008943A1">
        <w:tc>
          <w:tcPr>
            <w:tcW w:w="0" w:type="auto"/>
            <w:hideMark/>
          </w:tcPr>
          <w:p w14:paraId="77B445C9" w14:textId="77777777" w:rsidR="008943A1" w:rsidRPr="008943A1" w:rsidRDefault="008943A1" w:rsidP="008943A1">
            <w:pPr>
              <w:spacing w:after="160" w:line="278" w:lineRule="auto"/>
            </w:pPr>
            <w:r w:rsidRPr="008943A1">
              <w:rPr>
                <w:b/>
                <w:bCs/>
              </w:rPr>
              <w:t>Net charge effect</w:t>
            </w:r>
          </w:p>
        </w:tc>
        <w:tc>
          <w:tcPr>
            <w:tcW w:w="0" w:type="auto"/>
            <w:hideMark/>
          </w:tcPr>
          <w:p w14:paraId="59E62EB9" w14:textId="77777777" w:rsidR="008943A1" w:rsidRPr="008943A1" w:rsidRDefault="008943A1" w:rsidP="008943A1">
            <w:pPr>
              <w:spacing w:after="160" w:line="278" w:lineRule="auto"/>
            </w:pPr>
            <w:r w:rsidRPr="008943A1">
              <w:t>Variable, depends on which residues are consumed</w:t>
            </w:r>
          </w:p>
        </w:tc>
        <w:tc>
          <w:tcPr>
            <w:tcW w:w="0" w:type="auto"/>
            <w:hideMark/>
          </w:tcPr>
          <w:p w14:paraId="6E9B4F0A" w14:textId="77777777" w:rsidR="008943A1" w:rsidRPr="008943A1" w:rsidRDefault="008943A1" w:rsidP="008943A1">
            <w:pPr>
              <w:spacing w:after="160" w:line="278" w:lineRule="auto"/>
            </w:pPr>
            <w:r w:rsidRPr="008943A1">
              <w:t>Becomes more negative (lysine's positive charge is masked/replaced)</w:t>
            </w:r>
          </w:p>
        </w:tc>
        <w:tc>
          <w:tcPr>
            <w:tcW w:w="0" w:type="auto"/>
            <w:hideMark/>
          </w:tcPr>
          <w:p w14:paraId="573418AF" w14:textId="77777777" w:rsidR="008943A1" w:rsidRPr="008943A1" w:rsidRDefault="008943A1" w:rsidP="008943A1">
            <w:pPr>
              <w:spacing w:after="160" w:line="278" w:lineRule="auto"/>
            </w:pPr>
            <w:r w:rsidRPr="008943A1">
              <w:t>Becomes more negative (similar charge masking, plus added bulk)</w:t>
            </w:r>
          </w:p>
        </w:tc>
      </w:tr>
      <w:tr w:rsidR="008943A1" w:rsidRPr="008943A1" w14:paraId="4FEA6F0D" w14:textId="77777777" w:rsidTr="008943A1">
        <w:tc>
          <w:tcPr>
            <w:tcW w:w="0" w:type="auto"/>
            <w:hideMark/>
          </w:tcPr>
          <w:p w14:paraId="1D09D8CD" w14:textId="77777777" w:rsidR="008943A1" w:rsidRPr="008943A1" w:rsidRDefault="008943A1" w:rsidP="008943A1">
            <w:pPr>
              <w:spacing w:after="160" w:line="278" w:lineRule="auto"/>
            </w:pPr>
            <w:r w:rsidRPr="008943A1">
              <w:rPr>
                <w:b/>
                <w:bCs/>
              </w:rPr>
              <w:t>Typical measured outcome</w:t>
            </w:r>
          </w:p>
        </w:tc>
        <w:tc>
          <w:tcPr>
            <w:tcW w:w="0" w:type="auto"/>
            <w:hideMark/>
          </w:tcPr>
          <w:p w14:paraId="1DCEE6CC" w14:textId="77777777" w:rsidR="008943A1" w:rsidRPr="008943A1" w:rsidRDefault="008943A1" w:rsidP="008943A1">
            <w:pPr>
              <w:spacing w:after="160" w:line="278" w:lineRule="auto"/>
            </w:pPr>
            <w:r w:rsidRPr="008943A1">
              <w:t>Degree of crosslinking (often via SDS-PAGE band shift), gel strength, WHC</w:t>
            </w:r>
          </w:p>
        </w:tc>
        <w:tc>
          <w:tcPr>
            <w:tcW w:w="0" w:type="auto"/>
            <w:hideMark/>
          </w:tcPr>
          <w:p w14:paraId="2578EE09" w14:textId="77777777" w:rsidR="008943A1" w:rsidRPr="008943A1" w:rsidRDefault="008943A1" w:rsidP="008943A1">
            <w:pPr>
              <w:spacing w:after="160" w:line="278" w:lineRule="auto"/>
            </w:pPr>
            <w:r w:rsidRPr="008943A1">
              <w:t>Degree of substitution/acylation</w:t>
            </w:r>
          </w:p>
        </w:tc>
        <w:tc>
          <w:tcPr>
            <w:tcW w:w="0" w:type="auto"/>
            <w:hideMark/>
          </w:tcPr>
          <w:p w14:paraId="2B50A583" w14:textId="77777777" w:rsidR="008943A1" w:rsidRPr="008943A1" w:rsidRDefault="008943A1" w:rsidP="008943A1">
            <w:pPr>
              <w:spacing w:after="160" w:line="278" w:lineRule="auto"/>
            </w:pPr>
            <w:r w:rsidRPr="008943A1">
              <w:t>Degree of glycosylation/glycation (%)</w:t>
            </w:r>
          </w:p>
        </w:tc>
      </w:tr>
      <w:tr w:rsidR="008943A1" w:rsidRPr="008943A1" w14:paraId="07C24492" w14:textId="77777777" w:rsidTr="008943A1">
        <w:tc>
          <w:tcPr>
            <w:tcW w:w="0" w:type="auto"/>
            <w:hideMark/>
          </w:tcPr>
          <w:p w14:paraId="6FB3251B" w14:textId="77777777" w:rsidR="008943A1" w:rsidRPr="008943A1" w:rsidRDefault="008943A1" w:rsidP="008943A1">
            <w:pPr>
              <w:spacing w:after="160" w:line="278" w:lineRule="auto"/>
            </w:pPr>
            <w:r w:rsidRPr="008943A1">
              <w:rPr>
                <w:b/>
                <w:bCs/>
              </w:rPr>
              <w:t>Category in your scheme</w:t>
            </w:r>
          </w:p>
        </w:tc>
        <w:tc>
          <w:tcPr>
            <w:tcW w:w="0" w:type="auto"/>
            <w:hideMark/>
          </w:tcPr>
          <w:p w14:paraId="46A35F6A" w14:textId="77777777" w:rsidR="008943A1" w:rsidRPr="008943A1" w:rsidRDefault="008943A1" w:rsidP="008943A1">
            <w:pPr>
              <w:spacing w:after="160" w:line="278" w:lineRule="auto"/>
            </w:pPr>
            <w:r w:rsidRPr="008943A1">
              <w:t>Enzymatic</w:t>
            </w:r>
          </w:p>
        </w:tc>
        <w:tc>
          <w:tcPr>
            <w:tcW w:w="0" w:type="auto"/>
            <w:hideMark/>
          </w:tcPr>
          <w:p w14:paraId="049040D9" w14:textId="77777777" w:rsidR="008943A1" w:rsidRPr="008943A1" w:rsidRDefault="008943A1" w:rsidP="008943A1">
            <w:pPr>
              <w:spacing w:after="160" w:line="278" w:lineRule="auto"/>
            </w:pPr>
            <w:r w:rsidRPr="008943A1">
              <w:t>Chemical</w:t>
            </w:r>
          </w:p>
        </w:tc>
        <w:tc>
          <w:tcPr>
            <w:tcW w:w="0" w:type="auto"/>
            <w:hideMark/>
          </w:tcPr>
          <w:p w14:paraId="2D14886B" w14:textId="77777777" w:rsidR="008943A1" w:rsidRPr="008943A1" w:rsidRDefault="008943A1" w:rsidP="008943A1">
            <w:pPr>
              <w:spacing w:after="160" w:line="278" w:lineRule="auto"/>
            </w:pPr>
            <w:r w:rsidRPr="008943A1">
              <w:t>Chemical</w:t>
            </w:r>
          </w:p>
        </w:tc>
      </w:tr>
      <w:tr w:rsidR="008943A1" w:rsidRPr="008943A1" w14:paraId="080B592C" w14:textId="77777777" w:rsidTr="008943A1">
        <w:tc>
          <w:tcPr>
            <w:tcW w:w="0" w:type="auto"/>
            <w:hideMark/>
          </w:tcPr>
          <w:p w14:paraId="42CD4465" w14:textId="77777777" w:rsidR="008943A1" w:rsidRPr="008943A1" w:rsidRDefault="008943A1" w:rsidP="008943A1">
            <w:pPr>
              <w:spacing w:after="160" w:line="278" w:lineRule="auto"/>
            </w:pPr>
            <w:r w:rsidRPr="008943A1">
              <w:rPr>
                <w:b/>
                <w:bCs/>
              </w:rPr>
              <w:t>Your category</w:t>
            </w:r>
          </w:p>
        </w:tc>
        <w:tc>
          <w:tcPr>
            <w:tcW w:w="0" w:type="auto"/>
            <w:hideMark/>
          </w:tcPr>
          <w:p w14:paraId="57C5A8BD" w14:textId="77777777" w:rsidR="008943A1" w:rsidRPr="008943A1" w:rsidRDefault="008943A1" w:rsidP="008943A1">
            <w:pPr>
              <w:spacing w:after="160" w:line="278" w:lineRule="auto"/>
            </w:pPr>
            <w:r w:rsidRPr="008943A1">
              <w:t>enzymatic</w:t>
            </w:r>
          </w:p>
        </w:tc>
        <w:tc>
          <w:tcPr>
            <w:tcW w:w="0" w:type="auto"/>
            <w:hideMark/>
          </w:tcPr>
          <w:p w14:paraId="54E73087" w14:textId="77777777" w:rsidR="008943A1" w:rsidRPr="008943A1" w:rsidRDefault="008943A1" w:rsidP="008943A1">
            <w:pPr>
              <w:spacing w:after="160" w:line="278" w:lineRule="auto"/>
            </w:pPr>
            <w:r w:rsidRPr="008943A1">
              <w:t>chemical</w:t>
            </w:r>
          </w:p>
        </w:tc>
        <w:tc>
          <w:tcPr>
            <w:tcW w:w="0" w:type="auto"/>
            <w:hideMark/>
          </w:tcPr>
          <w:p w14:paraId="443D8B07" w14:textId="77777777" w:rsidR="008943A1" w:rsidRPr="008943A1" w:rsidRDefault="008943A1" w:rsidP="008943A1">
            <w:pPr>
              <w:spacing w:after="160" w:line="278" w:lineRule="auto"/>
            </w:pPr>
            <w:r w:rsidRPr="008943A1">
              <w:t>chemical</w:t>
            </w:r>
          </w:p>
        </w:tc>
      </w:tr>
    </w:tbl>
    <w:p w14:paraId="3668A75B" w14:textId="77777777" w:rsidR="008943A1" w:rsidRPr="008943A1" w:rsidRDefault="008943A1" w:rsidP="008943A1">
      <w:r w:rsidRPr="008943A1">
        <w:rPr>
          <w:b/>
          <w:bCs/>
        </w:rPr>
        <w:t>The one-line way to tell them apart when reading a new abstract:</w:t>
      </w:r>
    </w:p>
    <w:p w14:paraId="67E914A4" w14:textId="77777777" w:rsidR="008943A1" w:rsidRPr="008943A1" w:rsidRDefault="008943A1" w:rsidP="008943A1">
      <w:pPr>
        <w:numPr>
          <w:ilvl w:val="0"/>
          <w:numId w:val="1"/>
        </w:numPr>
      </w:pPr>
      <w:r w:rsidRPr="008943A1">
        <w:t xml:space="preserve">If the abstract names an </w:t>
      </w:r>
      <w:r w:rsidRPr="008943A1">
        <w:rPr>
          <w:b/>
          <w:bCs/>
        </w:rPr>
        <w:t>enzyme</w:t>
      </w:r>
      <w:r w:rsidRPr="008943A1">
        <w:t xml:space="preserve"> and describes </w:t>
      </w:r>
      <w:r w:rsidRPr="008943A1">
        <w:rPr>
          <w:b/>
          <w:bCs/>
        </w:rPr>
        <w:t>protein chains linking to each other</w:t>
      </w:r>
      <w:r w:rsidRPr="008943A1">
        <w:t xml:space="preserve"> (bigger molecular weight bands, denser gel networks) → </w:t>
      </w:r>
      <w:r w:rsidRPr="008943A1">
        <w:rPr>
          <w:b/>
          <w:bCs/>
        </w:rPr>
        <w:t>transglutaminase crosslinking</w:t>
      </w:r>
    </w:p>
    <w:p w14:paraId="73C9B576" w14:textId="77777777" w:rsidR="008943A1" w:rsidRPr="008943A1" w:rsidRDefault="008943A1" w:rsidP="008943A1">
      <w:pPr>
        <w:numPr>
          <w:ilvl w:val="0"/>
          <w:numId w:val="1"/>
        </w:numPr>
      </w:pPr>
      <w:r w:rsidRPr="008943A1">
        <w:lastRenderedPageBreak/>
        <w:t xml:space="preserve">If the abstract names </w:t>
      </w:r>
      <w:r w:rsidRPr="008943A1">
        <w:rPr>
          <w:b/>
          <w:bCs/>
        </w:rPr>
        <w:t>acetic anhydride</w:t>
      </w:r>
      <w:r w:rsidRPr="008943A1">
        <w:t xml:space="preserve"> or </w:t>
      </w:r>
      <w:r w:rsidRPr="008943A1">
        <w:rPr>
          <w:b/>
          <w:bCs/>
        </w:rPr>
        <w:t>succinic anhydride</w:t>
      </w:r>
      <w:r w:rsidRPr="008943A1">
        <w:t xml:space="preserve"> as the reagent → </w:t>
      </w:r>
      <w:r w:rsidRPr="008943A1">
        <w:rPr>
          <w:b/>
          <w:bCs/>
        </w:rPr>
        <w:t>acylation</w:t>
      </w:r>
      <w:r w:rsidRPr="008943A1">
        <w:t xml:space="preserve"> (specifically acetylation or </w:t>
      </w:r>
      <w:proofErr w:type="spellStart"/>
      <w:r w:rsidRPr="008943A1">
        <w:t>succinylation</w:t>
      </w:r>
      <w:proofErr w:type="spellEnd"/>
      <w:r w:rsidRPr="008943A1">
        <w:t>)</w:t>
      </w:r>
    </w:p>
    <w:p w14:paraId="1C436090" w14:textId="77777777" w:rsidR="008943A1" w:rsidRPr="008943A1" w:rsidRDefault="008943A1" w:rsidP="008943A1">
      <w:pPr>
        <w:numPr>
          <w:ilvl w:val="0"/>
          <w:numId w:val="1"/>
        </w:numPr>
      </w:pPr>
      <w:r w:rsidRPr="008943A1">
        <w:t xml:space="preserve">If the abstract mentions </w:t>
      </w:r>
      <w:r w:rsidRPr="008943A1">
        <w:rPr>
          <w:b/>
          <w:bCs/>
        </w:rPr>
        <w:t>heat + a sugar</w:t>
      </w:r>
      <w:r w:rsidRPr="008943A1">
        <w:t xml:space="preserve"> (glucose, xylose, lactose, maltose, maltodextrin) and reports a </w:t>
      </w:r>
      <w:r w:rsidRPr="008943A1">
        <w:rPr>
          <w:b/>
          <w:bCs/>
        </w:rPr>
        <w:t>"degree of glycosylation/glycation"</w:t>
      </w:r>
      <w:r w:rsidRPr="008943A1">
        <w:t xml:space="preserve"> → </w:t>
      </w:r>
      <w:r w:rsidRPr="008943A1">
        <w:rPr>
          <w:b/>
          <w:bCs/>
        </w:rPr>
        <w:t>glycation</w:t>
      </w:r>
    </w:p>
    <w:p w14:paraId="5FDC2EFB" w14:textId="77777777" w:rsidR="008943A1" w:rsidRPr="008943A1" w:rsidRDefault="008943A1" w:rsidP="008943A1">
      <w:r w:rsidRPr="008943A1">
        <w:rPr>
          <w:b/>
          <w:bCs/>
        </w:rPr>
        <w:t>One subtlety worth flagging, since it connects two of these together:</w:t>
      </w:r>
      <w:r w:rsidRPr="008943A1">
        <w:t xml:space="preserve"> acylation and glycation </w:t>
      </w:r>
      <w:proofErr w:type="gramStart"/>
      <w:r w:rsidRPr="008943A1">
        <w:t>actually attack</w:t>
      </w:r>
      <w:proofErr w:type="gramEnd"/>
      <w:r w:rsidRPr="008943A1">
        <w:t xml:space="preserve"> the </w:t>
      </w:r>
      <w:r w:rsidRPr="008943A1">
        <w:rPr>
          <w:b/>
          <w:bCs/>
        </w:rPr>
        <w:t>same target site</w:t>
      </w:r>
      <w:r w:rsidRPr="008943A1">
        <w:t xml:space="preserve"> on the protein, lysine's free amine group. This means a protein that's already been heavily acylated may have fewer free amines left available for glycation, and vice versa, they can compete for the same reactive sites if ever combined in the same study. You haven't hit a paper combining both yet, but if you do, that's worth noting as a real interaction, not two independent, additive treatments.</w:t>
      </w:r>
    </w:p>
    <w:p w14:paraId="3EA31143" w14:textId="77777777" w:rsidR="00CA3578" w:rsidRDefault="00CA3578"/>
    <w:sectPr w:rsidR="00CA35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F2CCC"/>
    <w:multiLevelType w:val="multilevel"/>
    <w:tmpl w:val="8F1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711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A1"/>
    <w:rsid w:val="00071D08"/>
    <w:rsid w:val="000C6D49"/>
    <w:rsid w:val="001E0B30"/>
    <w:rsid w:val="006D7724"/>
    <w:rsid w:val="008943A1"/>
    <w:rsid w:val="008D377E"/>
    <w:rsid w:val="00AB1E27"/>
    <w:rsid w:val="00B352A6"/>
    <w:rsid w:val="00C25E8D"/>
    <w:rsid w:val="00CA3578"/>
    <w:rsid w:val="00D678D7"/>
    <w:rsid w:val="00F22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DF82"/>
  <w15:chartTrackingRefBased/>
  <w15:docId w15:val="{C53B6129-56BB-405C-A4C8-99641BE62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B30"/>
    <w:rPr>
      <w:rFonts w:ascii="Times New Roman" w:hAnsi="Times New Roman"/>
    </w:rPr>
  </w:style>
  <w:style w:type="paragraph" w:styleId="Heading1">
    <w:name w:val="heading 1"/>
    <w:basedOn w:val="Normal"/>
    <w:next w:val="Normal"/>
    <w:link w:val="Heading1Char"/>
    <w:autoRedefine/>
    <w:uiPriority w:val="9"/>
    <w:qFormat/>
    <w:rsid w:val="00AB1E27"/>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AB1E27"/>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0C6D49"/>
    <w:pPr>
      <w:keepNext/>
      <w:keepLines/>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8943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43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43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43A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43A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43A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E2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semiHidden/>
    <w:rsid w:val="00AB1E27"/>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0C6D49"/>
    <w:rPr>
      <w:rFonts w:ascii="Times New Roman" w:eastAsiaTheme="majorEastAsia" w:hAnsi="Times New Roman" w:cstheme="majorBidi"/>
      <w:i/>
      <w:color w:val="000000" w:themeColor="text1"/>
      <w:szCs w:val="28"/>
    </w:rPr>
  </w:style>
  <w:style w:type="character" w:customStyle="1" w:styleId="Heading4Char">
    <w:name w:val="Heading 4 Char"/>
    <w:basedOn w:val="DefaultParagraphFont"/>
    <w:link w:val="Heading4"/>
    <w:uiPriority w:val="9"/>
    <w:semiHidden/>
    <w:rsid w:val="008943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3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3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3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3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3A1"/>
    <w:rPr>
      <w:rFonts w:eastAsiaTheme="majorEastAsia" w:cstheme="majorBidi"/>
      <w:color w:val="272727" w:themeColor="text1" w:themeTint="D8"/>
    </w:rPr>
  </w:style>
  <w:style w:type="paragraph" w:styleId="Title">
    <w:name w:val="Title"/>
    <w:basedOn w:val="Normal"/>
    <w:next w:val="Normal"/>
    <w:link w:val="TitleChar"/>
    <w:uiPriority w:val="10"/>
    <w:qFormat/>
    <w:rsid w:val="008943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3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3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3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3A1"/>
    <w:pPr>
      <w:spacing w:before="160"/>
      <w:jc w:val="center"/>
    </w:pPr>
    <w:rPr>
      <w:i/>
      <w:iCs/>
      <w:color w:val="404040" w:themeColor="text1" w:themeTint="BF"/>
    </w:rPr>
  </w:style>
  <w:style w:type="character" w:customStyle="1" w:styleId="QuoteChar">
    <w:name w:val="Quote Char"/>
    <w:basedOn w:val="DefaultParagraphFont"/>
    <w:link w:val="Quote"/>
    <w:uiPriority w:val="29"/>
    <w:rsid w:val="008943A1"/>
    <w:rPr>
      <w:rFonts w:ascii="Times New Roman" w:hAnsi="Times New Roman"/>
      <w:i/>
      <w:iCs/>
      <w:color w:val="404040" w:themeColor="text1" w:themeTint="BF"/>
    </w:rPr>
  </w:style>
  <w:style w:type="paragraph" w:styleId="ListParagraph">
    <w:name w:val="List Paragraph"/>
    <w:basedOn w:val="Normal"/>
    <w:uiPriority w:val="34"/>
    <w:qFormat/>
    <w:rsid w:val="008943A1"/>
    <w:pPr>
      <w:ind w:left="720"/>
      <w:contextualSpacing/>
    </w:pPr>
  </w:style>
  <w:style w:type="character" w:styleId="IntenseEmphasis">
    <w:name w:val="Intense Emphasis"/>
    <w:basedOn w:val="DefaultParagraphFont"/>
    <w:uiPriority w:val="21"/>
    <w:qFormat/>
    <w:rsid w:val="008943A1"/>
    <w:rPr>
      <w:i/>
      <w:iCs/>
      <w:color w:val="0F4761" w:themeColor="accent1" w:themeShade="BF"/>
    </w:rPr>
  </w:style>
  <w:style w:type="paragraph" w:styleId="IntenseQuote">
    <w:name w:val="Intense Quote"/>
    <w:basedOn w:val="Normal"/>
    <w:next w:val="Normal"/>
    <w:link w:val="IntenseQuoteChar"/>
    <w:uiPriority w:val="30"/>
    <w:qFormat/>
    <w:rsid w:val="00894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3A1"/>
    <w:rPr>
      <w:rFonts w:ascii="Times New Roman" w:hAnsi="Times New Roman"/>
      <w:i/>
      <w:iCs/>
      <w:color w:val="0F4761" w:themeColor="accent1" w:themeShade="BF"/>
    </w:rPr>
  </w:style>
  <w:style w:type="character" w:styleId="IntenseReference">
    <w:name w:val="Intense Reference"/>
    <w:basedOn w:val="DefaultParagraphFont"/>
    <w:uiPriority w:val="32"/>
    <w:qFormat/>
    <w:rsid w:val="008943A1"/>
    <w:rPr>
      <w:b/>
      <w:bCs/>
      <w:smallCaps/>
      <w:color w:val="0F4761" w:themeColor="accent1" w:themeShade="BF"/>
      <w:spacing w:val="5"/>
    </w:rPr>
  </w:style>
  <w:style w:type="table" w:styleId="TableGrid">
    <w:name w:val="Table Grid"/>
    <w:basedOn w:val="TableNormal"/>
    <w:uiPriority w:val="39"/>
    <w:rsid w:val="00894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350</Words>
  <Characters>1999</Characters>
  <Application>Microsoft Office Word</Application>
  <DocSecurity>0</DocSecurity>
  <Lines>16</Lines>
  <Paragraphs>4</Paragraphs>
  <ScaleCrop>false</ScaleCrop>
  <Company/>
  <LinksUpToDate>false</LinksUpToDate>
  <CharactersWithSpaces>2345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olusola olagunju</dc:creator>
  <cp:keywords/>
  <dc:description/>
  <cp:lastModifiedBy>olusola olagunju</cp:lastModifiedBy>
  <cp:revision>1</cp:revision>
  <dcterms:created xsi:type="dcterms:W3CDTF">2026-07-22T19:50:00Z</dcterms:created>
  <dcterms:modified xsi:type="dcterms:W3CDTF">2026-07-22T19:53:00Z</dcterms:modified>
</cp:coreProperties>
</file>