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6237" w14:textId="7CBB77E5" w:rsidR="00A45834" w:rsidRDefault="002B3C73" w:rsidP="002B3C73">
      <w:pPr>
        <w:jc w:val="center"/>
        <w:rPr>
          <w:b/>
          <w:bCs/>
        </w:rPr>
      </w:pPr>
      <w:r w:rsidRPr="002B3C73">
        <w:rPr>
          <w:b/>
          <w:bCs/>
        </w:rPr>
        <w:t>INSIGHTS AND RECOMMENDATIONS</w:t>
      </w:r>
    </w:p>
    <w:p w14:paraId="4ACDA1B4" w14:textId="77777777" w:rsidR="002B3C73" w:rsidRPr="00EA55F7" w:rsidRDefault="002B3C73" w:rsidP="002B3C73">
      <w:pPr>
        <w:rPr>
          <w:lang w:val="en-NG"/>
        </w:rPr>
      </w:pPr>
      <w:r w:rsidRPr="00EA55F7">
        <w:rPr>
          <w:lang w:val="en-NG"/>
        </w:rPr>
        <w:t>Customer Engagement &amp; Segmentation</w:t>
      </w:r>
    </w:p>
    <w:p w14:paraId="4DC140A5" w14:textId="77777777" w:rsidR="002B3C73" w:rsidRPr="00EA55F7" w:rsidRDefault="002B3C73" w:rsidP="002B3C73">
      <w:pPr>
        <w:pStyle w:val="ListParagraph"/>
        <w:numPr>
          <w:ilvl w:val="0"/>
          <w:numId w:val="1"/>
        </w:numPr>
        <w:rPr>
          <w:lang w:val="en-NG"/>
        </w:rPr>
      </w:pPr>
      <w:r w:rsidRPr="00EA55F7">
        <w:rPr>
          <w:lang w:val="en-NG"/>
        </w:rPr>
        <w:t>What is the demographic distribution of our customers, and how does it vary across different tiers?</w:t>
      </w:r>
    </w:p>
    <w:p w14:paraId="61EC17BD" w14:textId="77777777" w:rsidR="00EA2EE5" w:rsidRPr="00EA2EE5" w:rsidRDefault="00EA2EE5" w:rsidP="00EA2EE5">
      <w:pPr>
        <w:rPr>
          <w:lang w:val="en-NG"/>
        </w:rPr>
      </w:pPr>
      <w:r w:rsidRPr="00EA2EE5">
        <w:rPr>
          <w:b/>
          <w:bCs/>
          <w:lang w:val="en-NG"/>
        </w:rPr>
        <w:t>Customer Base Concentration:</w:t>
      </w:r>
    </w:p>
    <w:p w14:paraId="72FDD13B" w14:textId="4E8CE64C" w:rsidR="00EA2EE5" w:rsidRPr="00EA2EE5" w:rsidRDefault="00EA2EE5" w:rsidP="00EA2EE5">
      <w:pPr>
        <w:numPr>
          <w:ilvl w:val="0"/>
          <w:numId w:val="2"/>
        </w:numPr>
        <w:rPr>
          <w:lang w:val="en-NG"/>
        </w:rPr>
      </w:pPr>
      <w:r w:rsidRPr="00EA2EE5">
        <w:rPr>
          <w:lang w:val="en-NG"/>
        </w:rPr>
        <w:t>Most</w:t>
      </w:r>
      <w:r w:rsidRPr="00EA2EE5">
        <w:rPr>
          <w:lang w:val="en-NG"/>
        </w:rPr>
        <w:t xml:space="preserve"> customers (5.7K) are in Nigeria, followed by Kenya (3.6K), the UK (2.4K), and Ghana (1.8K).</w:t>
      </w:r>
      <w:r>
        <w:rPr>
          <w:lang w:val="en-NG"/>
        </w:rPr>
        <w:t xml:space="preserve"> </w:t>
      </w:r>
      <w:r w:rsidRPr="00EA2EE5">
        <w:rPr>
          <w:lang w:val="en-NG"/>
        </w:rPr>
        <w:t xml:space="preserve">This </w:t>
      </w:r>
      <w:r w:rsidRPr="00EA2EE5">
        <w:rPr>
          <w:lang w:val="en-NG"/>
        </w:rPr>
        <w:t>shows</w:t>
      </w:r>
      <w:r w:rsidRPr="00EA2EE5">
        <w:rPr>
          <w:lang w:val="en-NG"/>
        </w:rPr>
        <w:t xml:space="preserve"> that the bank’s presence is strongest in Nigeria and Kenya, with a smaller but notable footprint in the UK and Ghana.</w:t>
      </w:r>
    </w:p>
    <w:p w14:paraId="0404E126" w14:textId="77777777" w:rsidR="00EA2EE5" w:rsidRPr="00EA2EE5" w:rsidRDefault="00EA2EE5" w:rsidP="00EA2EE5">
      <w:pPr>
        <w:rPr>
          <w:lang w:val="en-NG"/>
        </w:rPr>
      </w:pPr>
      <w:r w:rsidRPr="00EA2EE5">
        <w:rPr>
          <w:b/>
          <w:bCs/>
          <w:lang w:val="en-NG"/>
        </w:rPr>
        <w:t>Tier Distribution &amp; Accessibility:</w:t>
      </w:r>
    </w:p>
    <w:p w14:paraId="665B7B61" w14:textId="22272295" w:rsidR="00EA2EE5" w:rsidRPr="00EA2EE5" w:rsidRDefault="00EA2EE5" w:rsidP="00EA2EE5">
      <w:pPr>
        <w:numPr>
          <w:ilvl w:val="0"/>
          <w:numId w:val="3"/>
        </w:numPr>
        <w:rPr>
          <w:lang w:val="en-NG"/>
        </w:rPr>
      </w:pPr>
      <w:r w:rsidRPr="00EA2EE5">
        <w:rPr>
          <w:lang w:val="en-NG"/>
        </w:rPr>
        <w:t>Most customers (8.6K) are in Tier 0, the lowest tier, making up ~63% of the total customer base.</w:t>
      </w:r>
      <w:r>
        <w:rPr>
          <w:lang w:val="en-NG"/>
        </w:rPr>
        <w:t xml:space="preserve"> </w:t>
      </w:r>
      <w:r w:rsidRPr="00EA2EE5">
        <w:rPr>
          <w:lang w:val="en-NG"/>
        </w:rPr>
        <w:t>Higher tiers (Tier 2 &amp; Tier 3) have significantly fewer customers (0.8K &amp; 0.4K, respectively).</w:t>
      </w:r>
      <w:r>
        <w:rPr>
          <w:lang w:val="en-NG"/>
        </w:rPr>
        <w:t xml:space="preserve"> </w:t>
      </w:r>
      <w:r w:rsidRPr="00EA2EE5">
        <w:rPr>
          <w:lang w:val="en-NG"/>
        </w:rPr>
        <w:t xml:space="preserve">This </w:t>
      </w:r>
      <w:r>
        <w:rPr>
          <w:lang w:val="en-NG"/>
        </w:rPr>
        <w:t>suggests</w:t>
      </w:r>
      <w:r w:rsidRPr="00EA2EE5">
        <w:rPr>
          <w:lang w:val="en-NG"/>
        </w:rPr>
        <w:t xml:space="preserve"> that most customers don’t upgrade their tier or find it difficult to meet the criteria for higher tiers.</w:t>
      </w:r>
    </w:p>
    <w:p w14:paraId="3F4CD313" w14:textId="47E7856B" w:rsidR="00EA2EE5" w:rsidRPr="00EA2EE5" w:rsidRDefault="00EA2EE5" w:rsidP="00EA2EE5">
      <w:pPr>
        <w:rPr>
          <w:lang w:val="en-NG"/>
        </w:rPr>
      </w:pPr>
      <w:r w:rsidRPr="00EA2EE5">
        <w:rPr>
          <w:b/>
          <w:bCs/>
          <w:lang w:val="en-NG"/>
        </w:rPr>
        <w:t xml:space="preserve">Age Demographics &amp; Tier </w:t>
      </w:r>
      <w:r w:rsidRPr="00EA2EE5">
        <w:rPr>
          <w:b/>
          <w:bCs/>
          <w:lang w:val="en-NG"/>
        </w:rPr>
        <w:t>Behaviour</w:t>
      </w:r>
      <w:r w:rsidRPr="00EA2EE5">
        <w:rPr>
          <w:b/>
          <w:bCs/>
          <w:lang w:val="en-NG"/>
        </w:rPr>
        <w:t>:</w:t>
      </w:r>
    </w:p>
    <w:p w14:paraId="71F8F796" w14:textId="71AAFE2A" w:rsidR="00EA2EE5" w:rsidRPr="00EA2EE5" w:rsidRDefault="00EA2EE5" w:rsidP="00EA2EE5">
      <w:pPr>
        <w:numPr>
          <w:ilvl w:val="0"/>
          <w:numId w:val="4"/>
        </w:numPr>
        <w:rPr>
          <w:lang w:val="en-NG"/>
        </w:rPr>
      </w:pPr>
      <w:r w:rsidRPr="00EA2EE5">
        <w:rPr>
          <w:lang w:val="en-NG"/>
        </w:rPr>
        <w:t>Tier 1 customers are the youngest (avg. 28 years), while Tier 0 customers are older (avg. 34 years).</w:t>
      </w:r>
      <w:r>
        <w:rPr>
          <w:lang w:val="en-NG"/>
        </w:rPr>
        <w:t xml:space="preserve"> </w:t>
      </w:r>
      <w:r w:rsidRPr="00EA2EE5">
        <w:rPr>
          <w:lang w:val="en-NG"/>
        </w:rPr>
        <w:t>This could indicate that younger customers are more likely to be engaged and progress faster through the tiers, while older customers may remain in Tier 0 due to lower engagement or different financial needs.</w:t>
      </w:r>
      <w:r>
        <w:rPr>
          <w:lang w:val="en-NG"/>
        </w:rPr>
        <w:t xml:space="preserve"> </w:t>
      </w:r>
      <w:r w:rsidRPr="00EA2EE5">
        <w:rPr>
          <w:lang w:val="en-NG"/>
        </w:rPr>
        <w:t xml:space="preserve">The overall average age is 32, </w:t>
      </w:r>
      <w:r>
        <w:rPr>
          <w:lang w:val="en-NG"/>
        </w:rPr>
        <w:t>showing</w:t>
      </w:r>
      <w:r w:rsidRPr="00EA2EE5">
        <w:rPr>
          <w:lang w:val="en-NG"/>
        </w:rPr>
        <w:t xml:space="preserve"> that the bank’s customer base is primarily young-to-middle-aged adults.</w:t>
      </w:r>
    </w:p>
    <w:p w14:paraId="209D1922" w14:textId="55AAC81F" w:rsidR="002B3C73" w:rsidRDefault="00EA2EE5" w:rsidP="002B3C73">
      <w:pPr>
        <w:rPr>
          <w:b/>
          <w:bCs/>
        </w:rPr>
      </w:pPr>
      <w:r w:rsidRPr="00EA2EE5">
        <w:rPr>
          <w:b/>
          <w:bCs/>
        </w:rPr>
        <w:t>Recommendations</w:t>
      </w:r>
    </w:p>
    <w:p w14:paraId="28E2B20A" w14:textId="05EB8B75" w:rsidR="00EA2EE5" w:rsidRPr="00EA2EE5" w:rsidRDefault="00EA2EE5" w:rsidP="00EA2EE5">
      <w:pPr>
        <w:rPr>
          <w:b/>
          <w:bCs/>
          <w:lang w:val="en-NG"/>
        </w:rPr>
      </w:pPr>
      <w:r w:rsidRPr="00EA2EE5">
        <w:rPr>
          <w:b/>
          <w:bCs/>
          <w:lang w:val="en-NG"/>
        </w:rPr>
        <w:t>Increase Higher-Tier Engagement &amp; Upselling Strategies:</w:t>
      </w:r>
    </w:p>
    <w:p w14:paraId="55E7178B" w14:textId="38A4D28C" w:rsidR="00EA2EE5" w:rsidRPr="00EA2EE5" w:rsidRDefault="00EA2EE5" w:rsidP="00EA2EE5">
      <w:pPr>
        <w:numPr>
          <w:ilvl w:val="0"/>
          <w:numId w:val="5"/>
        </w:numPr>
        <w:rPr>
          <w:lang w:val="en-NG"/>
        </w:rPr>
      </w:pPr>
      <w:r w:rsidRPr="00EA2EE5">
        <w:rPr>
          <w:lang w:val="en-NG"/>
        </w:rPr>
        <w:t>Since most customers are stuck in Tier 0, the bank should investigate why (e.g., unclear tier benefits, strict upgrade criteria, lack of incentives).</w:t>
      </w:r>
      <w:r>
        <w:rPr>
          <w:lang w:val="en-NG"/>
        </w:rPr>
        <w:t xml:space="preserve"> </w:t>
      </w:r>
      <w:r w:rsidRPr="00EA2EE5">
        <w:rPr>
          <w:lang w:val="en-NG"/>
        </w:rPr>
        <w:t>Introduce targeted campaigns to nudge Tier 0 and Tier 1 customers into upgrading, such as:</w:t>
      </w:r>
      <w:r>
        <w:rPr>
          <w:lang w:val="en-NG"/>
        </w:rPr>
        <w:t xml:space="preserve"> </w:t>
      </w:r>
      <w:r w:rsidRPr="00EA2EE5">
        <w:rPr>
          <w:lang w:val="en-NG"/>
        </w:rPr>
        <w:t>Loyalty rewards for frequent transactions</w:t>
      </w:r>
      <w:r>
        <w:rPr>
          <w:lang w:val="en-NG"/>
        </w:rPr>
        <w:t>, l</w:t>
      </w:r>
      <w:r w:rsidRPr="00EA2EE5">
        <w:rPr>
          <w:lang w:val="en-NG"/>
        </w:rPr>
        <w:t>ower entry barriers for higher tiers (e.g., discounts on fees for first-time upgraders)</w:t>
      </w:r>
      <w:r>
        <w:rPr>
          <w:lang w:val="en-NG"/>
        </w:rPr>
        <w:t>, p</w:t>
      </w:r>
      <w:r w:rsidRPr="00EA2EE5">
        <w:rPr>
          <w:lang w:val="en-NG"/>
        </w:rPr>
        <w:t>ersonalized financial products for each tier to make upgrading attractive.</w:t>
      </w:r>
    </w:p>
    <w:p w14:paraId="1D7F146D" w14:textId="6AF00DDE" w:rsidR="00EA2EE5" w:rsidRPr="00EA2EE5" w:rsidRDefault="00EA2EE5" w:rsidP="00EA2EE5">
      <w:pPr>
        <w:rPr>
          <w:b/>
          <w:bCs/>
          <w:lang w:val="en-NG"/>
        </w:rPr>
      </w:pPr>
      <w:r w:rsidRPr="00EA2EE5">
        <w:rPr>
          <w:b/>
          <w:bCs/>
          <w:lang w:val="en-NG"/>
        </w:rPr>
        <w:t>Age-Specific Marketing &amp; Product Offerings:</w:t>
      </w:r>
    </w:p>
    <w:p w14:paraId="4AF3F84A" w14:textId="49B51DFE" w:rsidR="00EA2EE5" w:rsidRPr="00EA2EE5" w:rsidRDefault="00EA2EE5" w:rsidP="00EA2EE5">
      <w:pPr>
        <w:numPr>
          <w:ilvl w:val="0"/>
          <w:numId w:val="6"/>
        </w:numPr>
        <w:rPr>
          <w:lang w:val="en-NG"/>
        </w:rPr>
      </w:pPr>
      <w:r w:rsidRPr="00EA2EE5">
        <w:rPr>
          <w:lang w:val="en-NG"/>
        </w:rPr>
        <w:t>Since Tier 1 has the youngest customers (28 avg.), the bank could create:</w:t>
      </w:r>
      <w:r>
        <w:rPr>
          <w:lang w:val="en-NG"/>
        </w:rPr>
        <w:t xml:space="preserve"> </w:t>
      </w:r>
      <w:r w:rsidRPr="00EA2EE5">
        <w:rPr>
          <w:lang w:val="en-NG"/>
        </w:rPr>
        <w:t>Savings &amp; investment products for young professionals</w:t>
      </w:r>
      <w:r>
        <w:rPr>
          <w:lang w:val="en-NG"/>
        </w:rPr>
        <w:t>, d</w:t>
      </w:r>
      <w:r w:rsidRPr="00EA2EE5">
        <w:rPr>
          <w:lang w:val="en-NG"/>
        </w:rPr>
        <w:t>igital-first banking features (e.g., app incentives, social media integration).</w:t>
      </w:r>
    </w:p>
    <w:p w14:paraId="4E7DE881" w14:textId="0759B654" w:rsidR="00EA2EE5" w:rsidRPr="00EA2EE5" w:rsidRDefault="00EA2EE5" w:rsidP="00161D0B">
      <w:pPr>
        <w:numPr>
          <w:ilvl w:val="0"/>
          <w:numId w:val="6"/>
        </w:numPr>
        <w:rPr>
          <w:lang w:val="en-NG"/>
        </w:rPr>
      </w:pPr>
      <w:r w:rsidRPr="00EA2EE5">
        <w:rPr>
          <w:lang w:val="en-NG"/>
        </w:rPr>
        <w:t>Since Tier 0 has the oldest customers (34 avg.), consider offering:</w:t>
      </w:r>
      <w:r>
        <w:rPr>
          <w:lang w:val="en-NG"/>
        </w:rPr>
        <w:t xml:space="preserve"> </w:t>
      </w:r>
      <w:r w:rsidRPr="00EA2EE5">
        <w:rPr>
          <w:lang w:val="en-NG"/>
        </w:rPr>
        <w:t>Wealth management &amp; retirement plans</w:t>
      </w:r>
      <w:r>
        <w:rPr>
          <w:lang w:val="en-NG"/>
        </w:rPr>
        <w:t>,</w:t>
      </w:r>
      <w:r w:rsidR="00161D0B">
        <w:rPr>
          <w:lang w:val="en-NG"/>
        </w:rPr>
        <w:t xml:space="preserve"> s</w:t>
      </w:r>
      <w:r w:rsidRPr="00EA2EE5">
        <w:rPr>
          <w:lang w:val="en-NG"/>
        </w:rPr>
        <w:t>implified banking solutions (e.g., priority customer service, easy access loans).</w:t>
      </w:r>
    </w:p>
    <w:p w14:paraId="4F4D7415" w14:textId="1DF98075" w:rsidR="00EA2EE5" w:rsidRPr="00EA2EE5" w:rsidRDefault="00EA2EE5" w:rsidP="00EA2EE5">
      <w:pPr>
        <w:rPr>
          <w:b/>
          <w:bCs/>
          <w:lang w:val="en-NG"/>
        </w:rPr>
      </w:pPr>
      <w:r w:rsidRPr="00EA2EE5">
        <w:rPr>
          <w:b/>
          <w:bCs/>
          <w:lang w:val="en-NG"/>
        </w:rPr>
        <w:t>Regional Expansion &amp; Market Prioritization:</w:t>
      </w:r>
    </w:p>
    <w:p w14:paraId="6F29A106" w14:textId="62EF4108" w:rsidR="00EA2EE5" w:rsidRPr="00EA2EE5" w:rsidRDefault="00EA2EE5" w:rsidP="00161D0B">
      <w:pPr>
        <w:numPr>
          <w:ilvl w:val="0"/>
          <w:numId w:val="7"/>
        </w:numPr>
        <w:rPr>
          <w:lang w:val="en-NG"/>
        </w:rPr>
      </w:pPr>
      <w:r w:rsidRPr="00EA2EE5">
        <w:rPr>
          <w:lang w:val="en-NG"/>
        </w:rPr>
        <w:lastRenderedPageBreak/>
        <w:t>The largest customer base is in Nigeria &amp; Kenya, so:</w:t>
      </w:r>
      <w:r w:rsidR="00161D0B">
        <w:rPr>
          <w:lang w:val="en-NG"/>
        </w:rPr>
        <w:t xml:space="preserve"> </w:t>
      </w:r>
      <w:r w:rsidRPr="00EA2EE5">
        <w:rPr>
          <w:lang w:val="en-NG"/>
        </w:rPr>
        <w:t>Invest more in localized banking services, branch presence, and digital outreach in these regions.</w:t>
      </w:r>
      <w:r w:rsidR="00161D0B">
        <w:rPr>
          <w:lang w:val="en-NG"/>
        </w:rPr>
        <w:t xml:space="preserve"> We can also s</w:t>
      </w:r>
      <w:r w:rsidRPr="00EA2EE5">
        <w:rPr>
          <w:lang w:val="en-NG"/>
        </w:rPr>
        <w:t>trengthen partnerships with local fin</w:t>
      </w:r>
      <w:r w:rsidR="00161D0B">
        <w:rPr>
          <w:lang w:val="en-NG"/>
        </w:rPr>
        <w:t>-</w:t>
      </w:r>
      <w:r w:rsidRPr="00EA2EE5">
        <w:rPr>
          <w:lang w:val="en-NG"/>
        </w:rPr>
        <w:t>techs and businesses to increase banking adoption.</w:t>
      </w:r>
    </w:p>
    <w:p w14:paraId="203D6AC5" w14:textId="495E196D" w:rsidR="00EA2EE5" w:rsidRPr="00EA2EE5" w:rsidRDefault="00EA2EE5" w:rsidP="00C457C2">
      <w:pPr>
        <w:numPr>
          <w:ilvl w:val="0"/>
          <w:numId w:val="7"/>
        </w:numPr>
        <w:rPr>
          <w:lang w:val="en-NG"/>
        </w:rPr>
      </w:pPr>
      <w:r w:rsidRPr="00EA2EE5">
        <w:rPr>
          <w:lang w:val="en-NG"/>
        </w:rPr>
        <w:t>The UK has a smaller but significant customer base (2.4K), which could indicate a niche expat/immigrant market.</w:t>
      </w:r>
      <w:r w:rsidR="00C457C2">
        <w:rPr>
          <w:lang w:val="en-NG"/>
        </w:rPr>
        <w:t xml:space="preserve"> </w:t>
      </w:r>
      <w:r w:rsidRPr="00EA2EE5">
        <w:rPr>
          <w:lang w:val="en-NG"/>
        </w:rPr>
        <w:t>Develop cross-border remittance services or expat-focused financial products to tap into this market more effectively.</w:t>
      </w:r>
    </w:p>
    <w:p w14:paraId="6F35C874" w14:textId="73C496BE" w:rsidR="00EA2EE5" w:rsidRPr="00EA2EE5" w:rsidRDefault="00EA2EE5" w:rsidP="00EA2EE5">
      <w:pPr>
        <w:rPr>
          <w:b/>
          <w:bCs/>
          <w:lang w:val="en-NG"/>
        </w:rPr>
      </w:pPr>
      <w:r w:rsidRPr="00EA2EE5">
        <w:rPr>
          <w:b/>
          <w:bCs/>
          <w:lang w:val="en-NG"/>
        </w:rPr>
        <w:t>Customer Retention &amp; Engagement Strategies:</w:t>
      </w:r>
    </w:p>
    <w:p w14:paraId="0913507E" w14:textId="44CC108F" w:rsidR="00EA2EE5" w:rsidRPr="00EA2EE5" w:rsidRDefault="00EA2EE5" w:rsidP="00C457C2">
      <w:pPr>
        <w:numPr>
          <w:ilvl w:val="0"/>
          <w:numId w:val="8"/>
        </w:numPr>
        <w:rPr>
          <w:lang w:val="en-NG"/>
        </w:rPr>
      </w:pPr>
      <w:r w:rsidRPr="00EA2EE5">
        <w:rPr>
          <w:lang w:val="en-NG"/>
        </w:rPr>
        <w:t>If older customers (34+) remain in lower tiers, they may be less engaged.</w:t>
      </w:r>
      <w:r w:rsidR="00C457C2">
        <w:rPr>
          <w:lang w:val="en-NG"/>
        </w:rPr>
        <w:t xml:space="preserve"> </w:t>
      </w:r>
      <w:r w:rsidRPr="00EA2EE5">
        <w:rPr>
          <w:lang w:val="en-NG"/>
        </w:rPr>
        <w:t>Use targeted engagement strategies, such as:</w:t>
      </w:r>
      <w:r w:rsidR="00C457C2">
        <w:rPr>
          <w:lang w:val="en-NG"/>
        </w:rPr>
        <w:t xml:space="preserve"> </w:t>
      </w:r>
      <w:r w:rsidRPr="00EA2EE5">
        <w:rPr>
          <w:lang w:val="en-NG"/>
        </w:rPr>
        <w:t>Push notifications &amp; personalized messages reminding them of available benefits.</w:t>
      </w:r>
      <w:r w:rsidR="00C457C2">
        <w:rPr>
          <w:lang w:val="en-NG"/>
        </w:rPr>
        <w:t xml:space="preserve"> </w:t>
      </w:r>
      <w:r w:rsidRPr="00EA2EE5">
        <w:rPr>
          <w:lang w:val="en-NG"/>
        </w:rPr>
        <w:t>Regular tier progression emails explaining what they need to do to level up.</w:t>
      </w:r>
    </w:p>
    <w:p w14:paraId="70F59721" w14:textId="77777777" w:rsidR="00EA2EE5" w:rsidRDefault="00EA2EE5" w:rsidP="002B3C73">
      <w:pPr>
        <w:rPr>
          <w:b/>
          <w:bCs/>
        </w:rPr>
      </w:pPr>
    </w:p>
    <w:p w14:paraId="506BC69A" w14:textId="77777777" w:rsidR="00C457C2" w:rsidRPr="00EA55F7" w:rsidRDefault="00C457C2" w:rsidP="00C457C2">
      <w:pPr>
        <w:numPr>
          <w:ilvl w:val="0"/>
          <w:numId w:val="1"/>
        </w:numPr>
        <w:rPr>
          <w:lang w:val="en-NG"/>
        </w:rPr>
      </w:pPr>
      <w:r w:rsidRPr="00EA55F7">
        <w:rPr>
          <w:lang w:val="en-NG"/>
        </w:rPr>
        <w:t>Which customer tiers dominate each market location?</w:t>
      </w:r>
    </w:p>
    <w:p w14:paraId="42BC5544" w14:textId="75426E1A" w:rsidR="00FF3A65" w:rsidRPr="00FF3A65" w:rsidRDefault="00FF3A65" w:rsidP="00FF3A65">
      <w:pPr>
        <w:rPr>
          <w:b/>
          <w:bCs/>
        </w:rPr>
      </w:pPr>
      <w:r w:rsidRPr="00FF3A65">
        <w:rPr>
          <w:b/>
          <w:bCs/>
        </w:rPr>
        <w:t>Tier 0 is Dominant Across All Markets</w:t>
      </w:r>
    </w:p>
    <w:p w14:paraId="36EFE3F3" w14:textId="034AE1E0" w:rsidR="00FF3A65" w:rsidRPr="00FF3A65" w:rsidRDefault="00FF3A65" w:rsidP="00FF3A65">
      <w:pPr>
        <w:pStyle w:val="ListParagraph"/>
        <w:numPr>
          <w:ilvl w:val="0"/>
          <w:numId w:val="9"/>
        </w:numPr>
      </w:pPr>
      <w:r w:rsidRPr="00FF3A65">
        <w:t>In every country (Nigeria, Kenya, UK, Ghana), Tier 0 is the largest group, making up the bulk of the customer base.</w:t>
      </w:r>
    </w:p>
    <w:p w14:paraId="636FDD0E" w14:textId="42096C72" w:rsidR="00FF3A65" w:rsidRPr="00FF3A65" w:rsidRDefault="00FF3A65" w:rsidP="00FF3A65">
      <w:pPr>
        <w:pStyle w:val="ListParagraph"/>
        <w:numPr>
          <w:ilvl w:val="0"/>
          <w:numId w:val="9"/>
        </w:numPr>
      </w:pPr>
      <w:r w:rsidRPr="00FF3A65">
        <w:t>This suggests that most customers do not progress beyond the entry-level tier, potentially due to a lack of engagement, incentives, or financial capability.</w:t>
      </w:r>
    </w:p>
    <w:p w14:paraId="364AE4F5" w14:textId="7E922B2D" w:rsidR="00FF3A65" w:rsidRPr="00FF3A65" w:rsidRDefault="00FF3A65" w:rsidP="00FF3A65">
      <w:pPr>
        <w:rPr>
          <w:b/>
          <w:bCs/>
        </w:rPr>
      </w:pPr>
      <w:r w:rsidRPr="00FF3A65">
        <w:rPr>
          <w:b/>
          <w:bCs/>
        </w:rPr>
        <w:t>Higher Tiers (Tier 2 &amp; Tier 3) Are Extremely Small</w:t>
      </w:r>
    </w:p>
    <w:p w14:paraId="663A8EB3" w14:textId="5F86918D" w:rsidR="00FF3A65" w:rsidRPr="00FF3A65" w:rsidRDefault="00FF3A65" w:rsidP="00FF3A65">
      <w:pPr>
        <w:pStyle w:val="ListParagraph"/>
        <w:numPr>
          <w:ilvl w:val="0"/>
          <w:numId w:val="10"/>
        </w:numPr>
      </w:pPr>
      <w:r w:rsidRPr="00FF3A65">
        <w:t>Tier 3 is the smallest in all locations, indicating that very few customers reach the highest tier.</w:t>
      </w:r>
      <w:r>
        <w:t xml:space="preserve"> </w:t>
      </w:r>
      <w:r w:rsidRPr="00FF3A65">
        <w:t>Tier 2 is also weak, with fewer than 500 customers in most markets.</w:t>
      </w:r>
      <w:r>
        <w:t xml:space="preserve"> </w:t>
      </w:r>
      <w:r w:rsidRPr="00FF3A65">
        <w:t>This could mean that:</w:t>
      </w:r>
      <w:r>
        <w:t xml:space="preserve"> </w:t>
      </w:r>
      <w:r w:rsidRPr="00FF3A65">
        <w:t>Tier progression criteria are too strict</w:t>
      </w:r>
      <w:r>
        <w:t>, c</w:t>
      </w:r>
      <w:r w:rsidRPr="00FF3A65">
        <w:t>ustomers don’t see enough value in upgrading</w:t>
      </w:r>
      <w:r>
        <w:t>, t</w:t>
      </w:r>
      <w:r w:rsidRPr="00FF3A65">
        <w:t>here is no strong incentive or targeted promotion for moving up the tiers.</w:t>
      </w:r>
    </w:p>
    <w:p w14:paraId="502DCAF2" w14:textId="266BB306" w:rsidR="00FF3A65" w:rsidRDefault="00FF3A65" w:rsidP="00FF3A65">
      <w:pPr>
        <w:rPr>
          <w:b/>
          <w:bCs/>
        </w:rPr>
      </w:pPr>
      <w:r>
        <w:rPr>
          <w:b/>
          <w:bCs/>
        </w:rPr>
        <w:t>Recommendations</w:t>
      </w:r>
    </w:p>
    <w:p w14:paraId="6F5C2C79" w14:textId="77777777" w:rsidR="00FF3A65" w:rsidRPr="00FF3A65" w:rsidRDefault="00FF3A65" w:rsidP="00FF3A65">
      <w:pPr>
        <w:rPr>
          <w:lang w:val="en-NG"/>
        </w:rPr>
      </w:pPr>
      <w:r w:rsidRPr="00FF3A65">
        <w:rPr>
          <w:b/>
          <w:bCs/>
          <w:lang w:val="en-NG"/>
        </w:rPr>
        <w:t>Revamp Tier Progression &amp; Incentives</w:t>
      </w:r>
    </w:p>
    <w:p w14:paraId="6C9FE2D8" w14:textId="26ECB798" w:rsidR="00FF3A65" w:rsidRPr="00AA3FF7" w:rsidRDefault="00FF3A65" w:rsidP="00AA3FF7">
      <w:pPr>
        <w:pStyle w:val="ListParagraph"/>
        <w:numPr>
          <w:ilvl w:val="0"/>
          <w:numId w:val="10"/>
        </w:numPr>
        <w:rPr>
          <w:lang w:val="en-NG"/>
        </w:rPr>
      </w:pPr>
      <w:r w:rsidRPr="00AA3FF7">
        <w:rPr>
          <w:lang w:val="en-NG"/>
        </w:rPr>
        <w:t>Since most customers remain in Tier 0, introduce:</w:t>
      </w:r>
      <w:r w:rsidR="00AA3FF7" w:rsidRPr="00AA3FF7">
        <w:rPr>
          <w:lang w:val="en-NG"/>
        </w:rPr>
        <w:t xml:space="preserve"> </w:t>
      </w:r>
      <w:r w:rsidRPr="00AA3FF7">
        <w:rPr>
          <w:lang w:val="en-NG"/>
        </w:rPr>
        <w:t>Tier-based benefits to encourage movement upwards (e.g., discounts on fees, higher transaction limits, cashback rewards).</w:t>
      </w:r>
      <w:r w:rsidR="00AA3FF7" w:rsidRPr="00AA3FF7">
        <w:rPr>
          <w:lang w:val="en-NG"/>
        </w:rPr>
        <w:t xml:space="preserve"> </w:t>
      </w:r>
      <w:r w:rsidRPr="00AA3FF7">
        <w:rPr>
          <w:lang w:val="en-NG"/>
        </w:rPr>
        <w:t>Loyalty programs where users earn points for banking activities and can exchange them for tier upgrades.</w:t>
      </w:r>
      <w:r w:rsidR="00AA3FF7" w:rsidRPr="00AA3FF7">
        <w:rPr>
          <w:lang w:val="en-NG"/>
        </w:rPr>
        <w:t xml:space="preserve"> </w:t>
      </w:r>
      <w:r w:rsidRPr="00AA3FF7">
        <w:rPr>
          <w:lang w:val="en-NG"/>
        </w:rPr>
        <w:t>Personalized financial offers (e.g., better interest rates for Tier 1+ customers).</w:t>
      </w:r>
    </w:p>
    <w:p w14:paraId="4CCE6710" w14:textId="77777777" w:rsidR="00FF3A65" w:rsidRPr="00FF3A65" w:rsidRDefault="00FF3A65" w:rsidP="00AA3FF7">
      <w:pPr>
        <w:rPr>
          <w:lang w:val="en-NG"/>
        </w:rPr>
      </w:pPr>
      <w:r w:rsidRPr="00FF3A65">
        <w:rPr>
          <w:b/>
          <w:bCs/>
          <w:lang w:val="en-NG"/>
        </w:rPr>
        <w:t>Country-Specific Customer Engagement Strategies</w:t>
      </w:r>
    </w:p>
    <w:p w14:paraId="23325750" w14:textId="5BBF2728" w:rsidR="00FF3A65" w:rsidRPr="00FF3A65" w:rsidRDefault="00FF3A65" w:rsidP="00AA3FF7">
      <w:pPr>
        <w:numPr>
          <w:ilvl w:val="0"/>
          <w:numId w:val="12"/>
        </w:numPr>
        <w:rPr>
          <w:lang w:val="en-NG"/>
        </w:rPr>
      </w:pPr>
      <w:r w:rsidRPr="00FF3A65">
        <w:rPr>
          <w:lang w:val="en-NG"/>
        </w:rPr>
        <w:t>For Nigeria &amp; Kenya (largest markets):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>Strengthen customer retention &amp; engagement campaigns to push Tier 0 customers to Tier 1+.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>Create educational content on the benefits of higher tiers (e.g., through in-app notifications or emails).</w:t>
      </w:r>
    </w:p>
    <w:p w14:paraId="54289139" w14:textId="4657CD42" w:rsidR="00FF3A65" w:rsidRPr="00FF3A65" w:rsidRDefault="00FF3A65" w:rsidP="00AA3FF7">
      <w:pPr>
        <w:numPr>
          <w:ilvl w:val="0"/>
          <w:numId w:val="12"/>
        </w:numPr>
        <w:rPr>
          <w:lang w:val="en-NG"/>
        </w:rPr>
      </w:pPr>
      <w:r w:rsidRPr="00FF3A65">
        <w:rPr>
          <w:lang w:val="en-NG"/>
        </w:rPr>
        <w:t>For the UK (expat-driven market):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>Introduce international banking services, such as better forex rates or remittance benefits for higher tiers.</w:t>
      </w:r>
    </w:p>
    <w:p w14:paraId="5C3AD61B" w14:textId="38439011" w:rsidR="00FF3A65" w:rsidRPr="00FF3A65" w:rsidRDefault="00FF3A65" w:rsidP="00AA3FF7">
      <w:pPr>
        <w:numPr>
          <w:ilvl w:val="0"/>
          <w:numId w:val="12"/>
        </w:numPr>
        <w:rPr>
          <w:lang w:val="en-NG"/>
        </w:rPr>
      </w:pPr>
      <w:r w:rsidRPr="00FF3A65">
        <w:rPr>
          <w:lang w:val="en-NG"/>
        </w:rPr>
        <w:lastRenderedPageBreak/>
        <w:t>For Ghana (smallest market):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>Run acquisition-focused campaigns (e.g., referral bonuses for new customers).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>Improve banking accessibility through digital services &amp; partnerships with local fintech companies.</w:t>
      </w:r>
    </w:p>
    <w:p w14:paraId="5834ACF0" w14:textId="7643E5AF" w:rsidR="00FF3A65" w:rsidRPr="00FF3A65" w:rsidRDefault="00AA3FF7" w:rsidP="00AA3FF7">
      <w:pPr>
        <w:rPr>
          <w:lang w:val="en-NG"/>
        </w:rPr>
      </w:pPr>
      <w:r w:rsidRPr="00FF3A65">
        <w:rPr>
          <w:b/>
          <w:bCs/>
          <w:lang w:val="en-NG"/>
        </w:rPr>
        <w:t>Analyse</w:t>
      </w:r>
      <w:r w:rsidR="00FF3A65" w:rsidRPr="00FF3A65">
        <w:rPr>
          <w:b/>
          <w:bCs/>
          <w:lang w:val="en-NG"/>
        </w:rPr>
        <w:t xml:space="preserve"> Why Customers Don't Upgrade</w:t>
      </w:r>
    </w:p>
    <w:p w14:paraId="7C8546CF" w14:textId="1914348E" w:rsidR="00FF3A65" w:rsidRDefault="00FF3A65" w:rsidP="00AA3FF7">
      <w:pPr>
        <w:numPr>
          <w:ilvl w:val="0"/>
          <w:numId w:val="11"/>
        </w:numPr>
        <w:rPr>
          <w:lang w:val="en-NG"/>
        </w:rPr>
      </w:pPr>
      <w:r w:rsidRPr="00FF3A65">
        <w:rPr>
          <w:lang w:val="en-NG"/>
        </w:rPr>
        <w:t>Conduct a survey or customer feedback analysis to understand why users remain in Tier 0 &amp; Tier 1.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 xml:space="preserve">Possible reasons could </w:t>
      </w:r>
      <w:r w:rsidR="00AA3FF7" w:rsidRPr="00FF3A65">
        <w:rPr>
          <w:lang w:val="en-NG"/>
        </w:rPr>
        <w:t>be</w:t>
      </w:r>
      <w:r w:rsidR="00AA3FF7">
        <w:rPr>
          <w:lang w:val="en-NG"/>
        </w:rPr>
        <w:t xml:space="preserve"> l</w:t>
      </w:r>
      <w:r w:rsidRPr="00FF3A65">
        <w:rPr>
          <w:lang w:val="en-NG"/>
        </w:rPr>
        <w:t>ack of awareness about tier benefits</w:t>
      </w:r>
      <w:r w:rsidR="00AA3FF7">
        <w:rPr>
          <w:lang w:val="en-NG"/>
        </w:rPr>
        <w:t>, s</w:t>
      </w:r>
      <w:r w:rsidRPr="00FF3A65">
        <w:rPr>
          <w:lang w:val="en-NG"/>
        </w:rPr>
        <w:t>trict upgrade criteria</w:t>
      </w:r>
      <w:r w:rsidR="00AA3FF7">
        <w:rPr>
          <w:lang w:val="en-NG"/>
        </w:rPr>
        <w:t>, n</w:t>
      </w:r>
      <w:r w:rsidRPr="00FF3A65">
        <w:rPr>
          <w:lang w:val="en-NG"/>
        </w:rPr>
        <w:t>o perceived added value for upgrading.</w:t>
      </w:r>
      <w:r w:rsidR="00AA3FF7">
        <w:rPr>
          <w:lang w:val="en-NG"/>
        </w:rPr>
        <w:t xml:space="preserve"> </w:t>
      </w:r>
      <w:r w:rsidRPr="00FF3A65">
        <w:rPr>
          <w:lang w:val="en-NG"/>
        </w:rPr>
        <w:t>Address these gaps through targeted promotional offers, feature improvements, and education.</w:t>
      </w:r>
    </w:p>
    <w:p w14:paraId="5BCE6DB1" w14:textId="77777777" w:rsidR="00AA3FF7" w:rsidRPr="00FF3A65" w:rsidRDefault="00AA3FF7" w:rsidP="00AA3FF7">
      <w:pPr>
        <w:ind w:left="720"/>
        <w:rPr>
          <w:lang w:val="en-NG"/>
        </w:rPr>
      </w:pPr>
    </w:p>
    <w:p w14:paraId="4363A7F7" w14:textId="183A9751" w:rsidR="00AA3FF7" w:rsidRPr="00AA3FF7" w:rsidRDefault="00AA3FF7" w:rsidP="00AA3FF7">
      <w:pPr>
        <w:pStyle w:val="ListParagraph"/>
        <w:numPr>
          <w:ilvl w:val="0"/>
          <w:numId w:val="1"/>
        </w:numPr>
        <w:rPr>
          <w:lang w:val="en-NG"/>
        </w:rPr>
      </w:pPr>
      <w:r w:rsidRPr="00AA3FF7">
        <w:rPr>
          <w:lang w:val="en-NG"/>
        </w:rPr>
        <w:t>How does account status (active, pending, or blocked) vary across the customer base?</w:t>
      </w:r>
    </w:p>
    <w:p w14:paraId="310739DC" w14:textId="2C1F38AB" w:rsidR="006A644D" w:rsidRPr="006A644D" w:rsidRDefault="006A644D" w:rsidP="006A644D">
      <w:pPr>
        <w:rPr>
          <w:lang w:val="en-NG"/>
        </w:rPr>
      </w:pPr>
      <w:r w:rsidRPr="006A644D">
        <w:rPr>
          <w:b/>
          <w:bCs/>
          <w:lang w:val="en-NG"/>
        </w:rPr>
        <w:t>The Majority of Customers Are Active (91.87%)</w:t>
      </w:r>
    </w:p>
    <w:p w14:paraId="212B88CF" w14:textId="68D2DB02" w:rsidR="006A644D" w:rsidRPr="006A644D" w:rsidRDefault="006A644D" w:rsidP="006A644D">
      <w:pPr>
        <w:numPr>
          <w:ilvl w:val="0"/>
          <w:numId w:val="13"/>
        </w:numPr>
        <w:rPr>
          <w:lang w:val="en-NG"/>
        </w:rPr>
      </w:pPr>
      <w:r w:rsidRPr="006A644D">
        <w:rPr>
          <w:lang w:val="en-NG"/>
        </w:rPr>
        <w:t>Active customers dominate in all markets and tiers, which is a positive sign for customer engagement.</w:t>
      </w:r>
      <w:r>
        <w:rPr>
          <w:lang w:val="en-NG"/>
        </w:rPr>
        <w:t xml:space="preserve"> </w:t>
      </w:r>
      <w:r w:rsidRPr="006A644D">
        <w:rPr>
          <w:lang w:val="en-NG"/>
        </w:rPr>
        <w:t>Higher tiers (1, 2, and 3) have 100% active customers, suggesting that customers who progress in tiers tend to stay engaged.</w:t>
      </w:r>
    </w:p>
    <w:p w14:paraId="1E2C34C2" w14:textId="74952B02" w:rsidR="006A644D" w:rsidRPr="006A644D" w:rsidRDefault="006A644D" w:rsidP="006A644D">
      <w:pPr>
        <w:rPr>
          <w:lang w:val="en-NG"/>
        </w:rPr>
      </w:pPr>
      <w:r w:rsidRPr="006A644D">
        <w:rPr>
          <w:b/>
          <w:bCs/>
          <w:lang w:val="en-NG"/>
        </w:rPr>
        <w:t>Pending Accounts Are a Problem in Tier 0 (6.19% of Total Customers)</w:t>
      </w:r>
    </w:p>
    <w:p w14:paraId="2848F289" w14:textId="734CC4CC" w:rsidR="006A644D" w:rsidRPr="006A644D" w:rsidRDefault="006A644D" w:rsidP="006A644D">
      <w:pPr>
        <w:numPr>
          <w:ilvl w:val="0"/>
          <w:numId w:val="14"/>
        </w:numPr>
        <w:rPr>
          <w:lang w:val="en-NG"/>
        </w:rPr>
      </w:pPr>
      <w:r w:rsidRPr="006A644D">
        <w:rPr>
          <w:lang w:val="en-NG"/>
        </w:rPr>
        <w:t>All pending accounts are in Tier 0, meaning 0.84k customers have not completed their onboarding or activation.</w:t>
      </w:r>
      <w:r>
        <w:rPr>
          <w:lang w:val="en-NG"/>
        </w:rPr>
        <w:t xml:space="preserve"> </w:t>
      </w:r>
      <w:r w:rsidRPr="006A644D">
        <w:rPr>
          <w:lang w:val="en-NG"/>
        </w:rPr>
        <w:t>Nigeria has the highest number of pending accounts (0.4k), followed by Kenya &amp; the UK (0.2k each), and Ghana (0.1k).</w:t>
      </w:r>
      <w:r>
        <w:rPr>
          <w:lang w:val="en-NG"/>
        </w:rPr>
        <w:t xml:space="preserve"> </w:t>
      </w:r>
      <w:r w:rsidRPr="006A644D">
        <w:rPr>
          <w:lang w:val="en-NG"/>
        </w:rPr>
        <w:t>Possible reasons for pending status:</w:t>
      </w:r>
      <w:r>
        <w:rPr>
          <w:lang w:val="en-NG"/>
        </w:rPr>
        <w:t xml:space="preserve"> </w:t>
      </w:r>
      <w:r w:rsidRPr="006A644D">
        <w:rPr>
          <w:lang w:val="en-NG"/>
        </w:rPr>
        <w:t>Customers abandoned registration before completing verification</w:t>
      </w:r>
      <w:r>
        <w:rPr>
          <w:lang w:val="en-NG"/>
        </w:rPr>
        <w:t>, i</w:t>
      </w:r>
      <w:r w:rsidRPr="006A644D">
        <w:rPr>
          <w:lang w:val="en-NG"/>
        </w:rPr>
        <w:t>ssues with KYC (Know Your Customer) or document submission</w:t>
      </w:r>
      <w:r>
        <w:rPr>
          <w:lang w:val="en-NG"/>
        </w:rPr>
        <w:t>, l</w:t>
      </w:r>
      <w:r w:rsidRPr="006A644D">
        <w:rPr>
          <w:lang w:val="en-NG"/>
        </w:rPr>
        <w:t>ack of follow-up or unclear onboarding steps.</w:t>
      </w:r>
    </w:p>
    <w:p w14:paraId="118D45FE" w14:textId="647C0E04" w:rsidR="006A644D" w:rsidRPr="006A644D" w:rsidRDefault="006A644D" w:rsidP="006A644D">
      <w:pPr>
        <w:rPr>
          <w:lang w:val="en-NG"/>
        </w:rPr>
      </w:pPr>
      <w:r w:rsidRPr="006A644D">
        <w:rPr>
          <w:b/>
          <w:bCs/>
          <w:lang w:val="en-NG"/>
        </w:rPr>
        <w:t xml:space="preserve">Blocked Accounts Are a Small </w:t>
      </w:r>
      <w:r w:rsidRPr="006A644D">
        <w:rPr>
          <w:b/>
          <w:bCs/>
          <w:lang w:val="en-NG"/>
        </w:rPr>
        <w:t>but</w:t>
      </w:r>
      <w:r w:rsidRPr="006A644D">
        <w:rPr>
          <w:b/>
          <w:bCs/>
          <w:lang w:val="en-NG"/>
        </w:rPr>
        <w:t xml:space="preserve"> Noticeable Segment (1.94%)</w:t>
      </w:r>
    </w:p>
    <w:p w14:paraId="155A1090" w14:textId="2512F24F" w:rsidR="006A644D" w:rsidRPr="006A644D" w:rsidRDefault="006A644D" w:rsidP="006A644D">
      <w:pPr>
        <w:numPr>
          <w:ilvl w:val="0"/>
          <w:numId w:val="15"/>
        </w:numPr>
        <w:rPr>
          <w:lang w:val="en-NG"/>
        </w:rPr>
      </w:pPr>
      <w:r w:rsidRPr="006A644D">
        <w:rPr>
          <w:lang w:val="en-NG"/>
        </w:rPr>
        <w:t>Most blocked accounts are in Tier 0 (207 customers), followed by Tier 1 (44 customers), Tier 2 (8 customers), and Tier 3 (4 customers).</w:t>
      </w:r>
      <w:r>
        <w:rPr>
          <w:lang w:val="en-NG"/>
        </w:rPr>
        <w:t xml:space="preserve"> </w:t>
      </w:r>
      <w:r w:rsidRPr="006A644D">
        <w:rPr>
          <w:lang w:val="en-NG"/>
        </w:rPr>
        <w:t>Nigeria has the highest blocked accounts (135), followed by Kenya (57), the UK (51), and Ghana (20).</w:t>
      </w:r>
    </w:p>
    <w:p w14:paraId="3F9E7F4D" w14:textId="2D5F7D34" w:rsidR="006A644D" w:rsidRPr="006A644D" w:rsidRDefault="006A644D" w:rsidP="006A644D">
      <w:pPr>
        <w:numPr>
          <w:ilvl w:val="0"/>
          <w:numId w:val="15"/>
        </w:numPr>
        <w:rPr>
          <w:lang w:val="en-NG"/>
        </w:rPr>
      </w:pPr>
      <w:r w:rsidRPr="006A644D">
        <w:rPr>
          <w:lang w:val="en-NG"/>
        </w:rPr>
        <w:t>Possible reasons for blocked accounts:</w:t>
      </w:r>
      <w:r>
        <w:rPr>
          <w:lang w:val="en-NG"/>
        </w:rPr>
        <w:t xml:space="preserve"> f</w:t>
      </w:r>
      <w:r w:rsidRPr="006A644D">
        <w:rPr>
          <w:lang w:val="en-NG"/>
        </w:rPr>
        <w:t>raudulent activity or security issues</w:t>
      </w:r>
      <w:r>
        <w:rPr>
          <w:lang w:val="en-NG"/>
        </w:rPr>
        <w:t>, a</w:t>
      </w:r>
      <w:r w:rsidRPr="006A644D">
        <w:rPr>
          <w:lang w:val="en-NG"/>
        </w:rPr>
        <w:t>ccounts flagged for suspicious transactions</w:t>
      </w:r>
      <w:r>
        <w:rPr>
          <w:lang w:val="en-NG"/>
        </w:rPr>
        <w:t>, n</w:t>
      </w:r>
      <w:r w:rsidRPr="006A644D">
        <w:rPr>
          <w:lang w:val="en-NG"/>
        </w:rPr>
        <w:t>on-compliance with banking policies.</w:t>
      </w:r>
    </w:p>
    <w:p w14:paraId="2EDC3AB2" w14:textId="2B2122FD" w:rsidR="00FF3A65" w:rsidRPr="006A644D" w:rsidRDefault="006A644D" w:rsidP="00FF3A65">
      <w:pPr>
        <w:rPr>
          <w:b/>
          <w:bCs/>
        </w:rPr>
      </w:pPr>
      <w:r w:rsidRPr="006A644D">
        <w:rPr>
          <w:b/>
          <w:bCs/>
        </w:rPr>
        <w:t>Recommendations</w:t>
      </w:r>
    </w:p>
    <w:p w14:paraId="02F89719" w14:textId="1B9854A9" w:rsidR="006A644D" w:rsidRPr="006A644D" w:rsidRDefault="006A644D" w:rsidP="006A644D">
      <w:pPr>
        <w:rPr>
          <w:b/>
          <w:bCs/>
          <w:lang w:val="en-NG"/>
        </w:rPr>
      </w:pPr>
      <w:r w:rsidRPr="006A644D">
        <w:rPr>
          <w:b/>
          <w:bCs/>
          <w:lang w:val="en-NG"/>
        </w:rPr>
        <w:t>Reduce the Number of Pending Accounts</w:t>
      </w:r>
    </w:p>
    <w:p w14:paraId="741CD4E7" w14:textId="0630C565" w:rsidR="006A644D" w:rsidRPr="006A644D" w:rsidRDefault="006A644D" w:rsidP="00467471">
      <w:pPr>
        <w:numPr>
          <w:ilvl w:val="0"/>
          <w:numId w:val="16"/>
        </w:numPr>
        <w:rPr>
          <w:lang w:val="en-NG"/>
        </w:rPr>
      </w:pPr>
      <w:r w:rsidRPr="006A644D">
        <w:rPr>
          <w:lang w:val="en-NG"/>
        </w:rPr>
        <w:t>Since all pending accounts are in Tier 0, improving the onboarding process can help: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Automate reminders (emails, SMS, in-app notifications) urging customers to complete registration.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Streamline KYC verification to make it easier and faster.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Offer a welcome incentive (e.g., small bonus, first transaction cashback) to encourage completion.</w:t>
      </w:r>
    </w:p>
    <w:p w14:paraId="5A6C47DC" w14:textId="77777777" w:rsidR="00467471" w:rsidRDefault="00467471" w:rsidP="006A644D">
      <w:pPr>
        <w:rPr>
          <w:b/>
          <w:bCs/>
          <w:lang w:val="en-NG"/>
        </w:rPr>
      </w:pPr>
    </w:p>
    <w:p w14:paraId="34E1215C" w14:textId="77777777" w:rsidR="00467471" w:rsidRDefault="00467471" w:rsidP="006A644D">
      <w:pPr>
        <w:rPr>
          <w:b/>
          <w:bCs/>
          <w:lang w:val="en-NG"/>
        </w:rPr>
      </w:pPr>
    </w:p>
    <w:p w14:paraId="402766BF" w14:textId="77777777" w:rsidR="00467471" w:rsidRDefault="00467471" w:rsidP="006A644D">
      <w:pPr>
        <w:rPr>
          <w:b/>
          <w:bCs/>
          <w:lang w:val="en-NG"/>
        </w:rPr>
      </w:pPr>
    </w:p>
    <w:p w14:paraId="1120A306" w14:textId="3BC99A0B" w:rsidR="006A644D" w:rsidRPr="006A644D" w:rsidRDefault="006A644D" w:rsidP="006A644D">
      <w:pPr>
        <w:rPr>
          <w:b/>
          <w:bCs/>
          <w:lang w:val="en-NG"/>
        </w:rPr>
      </w:pPr>
      <w:r w:rsidRPr="006A644D">
        <w:rPr>
          <w:b/>
          <w:bCs/>
          <w:lang w:val="en-NG"/>
        </w:rPr>
        <w:lastRenderedPageBreak/>
        <w:t>Investigate and Reduce Blocked Accounts</w:t>
      </w:r>
    </w:p>
    <w:p w14:paraId="53DFCA87" w14:textId="59CA7485" w:rsidR="006A644D" w:rsidRPr="006A644D" w:rsidRDefault="006A644D" w:rsidP="00467471">
      <w:pPr>
        <w:numPr>
          <w:ilvl w:val="0"/>
          <w:numId w:val="17"/>
        </w:numPr>
        <w:rPr>
          <w:lang w:val="en-NG"/>
        </w:rPr>
      </w:pPr>
      <w:r w:rsidRPr="006A644D">
        <w:rPr>
          <w:lang w:val="en-NG"/>
        </w:rPr>
        <w:t>Conduct an audit of blocked accounts to determine the common reasons behind them.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If accounts were blocked due to inactivity or minor violations, consider reactivating them after review.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Implement better fraud detection &amp; customer education to prevent unnecessary blocks</w:t>
      </w:r>
      <w:r w:rsidRPr="006A644D">
        <w:rPr>
          <w:b/>
          <w:bCs/>
          <w:lang w:val="en-NG"/>
        </w:rPr>
        <w:t>.</w:t>
      </w:r>
    </w:p>
    <w:p w14:paraId="4B698BA3" w14:textId="726ED27F" w:rsidR="006A644D" w:rsidRPr="006A644D" w:rsidRDefault="006A644D" w:rsidP="006A644D">
      <w:pPr>
        <w:rPr>
          <w:b/>
          <w:bCs/>
          <w:lang w:val="en-NG"/>
        </w:rPr>
      </w:pPr>
      <w:r w:rsidRPr="006A644D">
        <w:rPr>
          <w:b/>
          <w:bCs/>
          <w:lang w:val="en-NG"/>
        </w:rPr>
        <w:t>Engage &amp; Retain Active Customers</w:t>
      </w:r>
    </w:p>
    <w:p w14:paraId="2B1EC9F4" w14:textId="77777777" w:rsidR="006A644D" w:rsidRPr="006A644D" w:rsidRDefault="006A644D" w:rsidP="006A644D">
      <w:pPr>
        <w:numPr>
          <w:ilvl w:val="0"/>
          <w:numId w:val="18"/>
        </w:numPr>
        <w:rPr>
          <w:lang w:val="en-NG"/>
        </w:rPr>
      </w:pPr>
      <w:r w:rsidRPr="006A644D">
        <w:rPr>
          <w:lang w:val="en-NG"/>
        </w:rPr>
        <w:t>Since all customers in Tiers 1, 2, and 3 are active, it confirms that higher-tier customers are more engaged.</w:t>
      </w:r>
    </w:p>
    <w:p w14:paraId="278F6151" w14:textId="2BAD3C95" w:rsidR="006A644D" w:rsidRPr="006A644D" w:rsidRDefault="006A644D" w:rsidP="00467471">
      <w:pPr>
        <w:numPr>
          <w:ilvl w:val="0"/>
          <w:numId w:val="18"/>
        </w:numPr>
        <w:rPr>
          <w:lang w:val="en-NG"/>
        </w:rPr>
      </w:pPr>
      <w:r w:rsidRPr="006A644D">
        <w:rPr>
          <w:lang w:val="en-NG"/>
        </w:rPr>
        <w:t>Leverage this by: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Encouraging Tier 0 customers to move up through personalized offers &amp; tier-based benefits.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Providing premium services to active customers to maintain engagement.</w:t>
      </w:r>
      <w:r w:rsidR="00467471">
        <w:rPr>
          <w:lang w:val="en-NG"/>
        </w:rPr>
        <w:t xml:space="preserve"> </w:t>
      </w:r>
      <w:r w:rsidRPr="006A644D">
        <w:rPr>
          <w:lang w:val="en-NG"/>
        </w:rPr>
        <w:t>Creating targeted marketing campaigns for specific markets (Nigeria, Kenya, etc.) to maintain high activity rates.</w:t>
      </w:r>
    </w:p>
    <w:p w14:paraId="5670DE1A" w14:textId="77777777" w:rsidR="00467471" w:rsidRDefault="00467471" w:rsidP="00467471">
      <w:pPr>
        <w:pStyle w:val="ListParagraph"/>
        <w:rPr>
          <w:lang w:val="en-NG"/>
        </w:rPr>
      </w:pPr>
    </w:p>
    <w:p w14:paraId="231CFA99" w14:textId="0027F2FE" w:rsidR="00467471" w:rsidRPr="00467471" w:rsidRDefault="00467471" w:rsidP="00467471">
      <w:pPr>
        <w:pStyle w:val="ListParagraph"/>
        <w:numPr>
          <w:ilvl w:val="0"/>
          <w:numId w:val="1"/>
        </w:numPr>
        <w:rPr>
          <w:lang w:val="en-NG"/>
        </w:rPr>
      </w:pPr>
      <w:r w:rsidRPr="00467471">
        <w:rPr>
          <w:lang w:val="en-NG"/>
        </w:rPr>
        <w:t>Which age groups have the most idle accounts?</w:t>
      </w:r>
    </w:p>
    <w:p w14:paraId="470F65C4" w14:textId="73E25F57" w:rsidR="00A257A4" w:rsidRPr="00A257A4" w:rsidRDefault="00A257A4" w:rsidP="00A257A4">
      <w:pPr>
        <w:rPr>
          <w:b/>
          <w:bCs/>
        </w:rPr>
      </w:pPr>
      <w:r w:rsidRPr="00A257A4">
        <w:rPr>
          <w:b/>
          <w:bCs/>
        </w:rPr>
        <w:t>Young Adults (16–30) Have the Most Idle Accounts (111 Hours on Average)</w:t>
      </w:r>
    </w:p>
    <w:p w14:paraId="6CBF33DD" w14:textId="2F6A4A78" w:rsidR="00A257A4" w:rsidRPr="00A257A4" w:rsidRDefault="00A257A4" w:rsidP="00A257A4">
      <w:pPr>
        <w:pStyle w:val="ListParagraph"/>
        <w:numPr>
          <w:ilvl w:val="0"/>
          <w:numId w:val="11"/>
        </w:numPr>
      </w:pPr>
      <w:r w:rsidRPr="00A257A4">
        <w:t>This group is the least engaged with their accounts.</w:t>
      </w:r>
      <w:r>
        <w:t xml:space="preserve"> </w:t>
      </w:r>
      <w:r w:rsidRPr="00A257A4">
        <w:t>Possible reasons:</w:t>
      </w:r>
      <w:r>
        <w:t xml:space="preserve"> </w:t>
      </w:r>
      <w:r w:rsidRPr="00A257A4">
        <w:t>They could be students or young professionals with irregular banking needs (fewer transactions, more reliance on savings).</w:t>
      </w:r>
      <w:r>
        <w:t xml:space="preserve"> </w:t>
      </w:r>
      <w:r w:rsidRPr="00A257A4">
        <w:t>Some might have opened accounts due to promotions but don’t actively use them</w:t>
      </w:r>
      <w:r w:rsidRPr="00A257A4">
        <w:rPr>
          <w:b/>
          <w:bCs/>
        </w:rPr>
        <w:t>.</w:t>
      </w:r>
    </w:p>
    <w:p w14:paraId="692654A8" w14:textId="1E28B8DB" w:rsidR="00A257A4" w:rsidRPr="00A257A4" w:rsidRDefault="00A257A4" w:rsidP="00A257A4">
      <w:pPr>
        <w:rPr>
          <w:b/>
          <w:bCs/>
        </w:rPr>
      </w:pPr>
      <w:r w:rsidRPr="00A257A4">
        <w:rPr>
          <w:b/>
          <w:bCs/>
        </w:rPr>
        <w:t>Senior Customers (61–75) Also Have High Idle Times (84 Hours on Average)</w:t>
      </w:r>
    </w:p>
    <w:p w14:paraId="3BB8F2B6" w14:textId="38516DBC" w:rsidR="00A257A4" w:rsidRPr="00A257A4" w:rsidRDefault="00A257A4" w:rsidP="00A257A4">
      <w:pPr>
        <w:pStyle w:val="ListParagraph"/>
        <w:numPr>
          <w:ilvl w:val="0"/>
          <w:numId w:val="11"/>
        </w:numPr>
      </w:pPr>
      <w:r w:rsidRPr="00A257A4">
        <w:t>They are less active than middle-aged groups, likely due to:</w:t>
      </w:r>
      <w:r>
        <w:t xml:space="preserve"> </w:t>
      </w:r>
      <w:r w:rsidRPr="00A257A4">
        <w:t>Less frequent digital banking usage (they might prefer in-person banking).</w:t>
      </w:r>
      <w:r>
        <w:t xml:space="preserve"> </w:t>
      </w:r>
      <w:r w:rsidRPr="00A257A4">
        <w:t>Limited tech adoption leading to reliance on family members for banking.</w:t>
      </w:r>
      <w:r>
        <w:t xml:space="preserve"> </w:t>
      </w:r>
      <w:r w:rsidRPr="00A257A4">
        <w:t>Retirement status (less need for frequent transactions).</w:t>
      </w:r>
    </w:p>
    <w:p w14:paraId="6992556F" w14:textId="64C07AC1" w:rsidR="00A257A4" w:rsidRPr="00A257A4" w:rsidRDefault="00A257A4" w:rsidP="00A257A4">
      <w:pPr>
        <w:rPr>
          <w:b/>
          <w:bCs/>
        </w:rPr>
      </w:pPr>
      <w:r w:rsidRPr="00A257A4">
        <w:rPr>
          <w:b/>
          <w:bCs/>
        </w:rPr>
        <w:t>Children &amp; Teen Accounts (0–15) Also Show High Idle Times (82 Hours on Average)</w:t>
      </w:r>
    </w:p>
    <w:p w14:paraId="42376A6F" w14:textId="26B14D35" w:rsidR="00A257A4" w:rsidRPr="00A257A4" w:rsidRDefault="00A257A4" w:rsidP="00A257A4">
      <w:pPr>
        <w:pStyle w:val="ListParagraph"/>
        <w:numPr>
          <w:ilvl w:val="0"/>
          <w:numId w:val="11"/>
        </w:numPr>
      </w:pPr>
      <w:r w:rsidRPr="00A257A4">
        <w:t>Many might be savings accounts opened by parents with little to no active use.</w:t>
      </w:r>
      <w:r>
        <w:t xml:space="preserve"> </w:t>
      </w:r>
      <w:r w:rsidRPr="00A257A4">
        <w:t>These accounts could also have limited transaction capabilities, making them less used.</w:t>
      </w:r>
    </w:p>
    <w:p w14:paraId="5370D1DC" w14:textId="5C912734" w:rsidR="00A257A4" w:rsidRPr="00A257A4" w:rsidRDefault="00A257A4" w:rsidP="00A257A4">
      <w:pPr>
        <w:rPr>
          <w:b/>
          <w:bCs/>
        </w:rPr>
      </w:pPr>
      <w:r w:rsidRPr="00A257A4">
        <w:rPr>
          <w:b/>
          <w:bCs/>
        </w:rPr>
        <w:t>Middle-Aged Groups (31–45 &amp; 46–60) Are the Most Active</w:t>
      </w:r>
    </w:p>
    <w:p w14:paraId="5A442CD1" w14:textId="51EE945B" w:rsidR="00A257A4" w:rsidRPr="00A257A4" w:rsidRDefault="00A257A4" w:rsidP="00A257A4">
      <w:pPr>
        <w:pStyle w:val="ListParagraph"/>
        <w:numPr>
          <w:ilvl w:val="0"/>
          <w:numId w:val="11"/>
        </w:numPr>
      </w:pPr>
      <w:r w:rsidRPr="00A257A4">
        <w:t>The 31–45 group averages 81 hours of inactivity, while the 46–60 group averages 67 hours (the lowest).</w:t>
      </w:r>
      <w:r>
        <w:t xml:space="preserve"> </w:t>
      </w:r>
      <w:r w:rsidRPr="00A257A4">
        <w:t>This suggests that these groups have the most frequent banking needs, likely due to</w:t>
      </w:r>
      <w:r>
        <w:t xml:space="preserve">: </w:t>
      </w:r>
      <w:r w:rsidRPr="00A257A4">
        <w:t>Active careers, salaries, and bill payments.</w:t>
      </w:r>
      <w:r>
        <w:t xml:space="preserve"> </w:t>
      </w:r>
      <w:r w:rsidRPr="00A257A4">
        <w:t>Family responsibilities requiring more transactions.</w:t>
      </w:r>
      <w:r>
        <w:t xml:space="preserve"> </w:t>
      </w:r>
      <w:r w:rsidRPr="00A257A4">
        <w:t>Business-related transactions.</w:t>
      </w:r>
    </w:p>
    <w:p w14:paraId="0671A24B" w14:textId="5EA8C7BC" w:rsidR="00C457C2" w:rsidRDefault="00A257A4" w:rsidP="002B3C73">
      <w:pPr>
        <w:rPr>
          <w:b/>
          <w:bCs/>
        </w:rPr>
      </w:pPr>
      <w:r>
        <w:rPr>
          <w:b/>
          <w:bCs/>
        </w:rPr>
        <w:t>Recommendations</w:t>
      </w:r>
    </w:p>
    <w:p w14:paraId="42003F9D" w14:textId="77777777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t>Re-Engage Young Adults (16–30) Through Digital &amp; Lifestyle Banking</w:t>
      </w:r>
    </w:p>
    <w:p w14:paraId="53836469" w14:textId="7F35CDE0" w:rsidR="007A48AC" w:rsidRPr="007A48AC" w:rsidRDefault="007A48AC" w:rsidP="007A48AC">
      <w:pPr>
        <w:numPr>
          <w:ilvl w:val="0"/>
          <w:numId w:val="19"/>
        </w:numPr>
        <w:rPr>
          <w:lang w:val="en-NG"/>
        </w:rPr>
      </w:pPr>
      <w:r w:rsidRPr="007A48AC">
        <w:rPr>
          <w:lang w:val="en-NG"/>
        </w:rPr>
        <w:t>Introduce rewards for transactions (cashback on purchases, discounts on subscriptions like Netflix, Spotify).</w:t>
      </w:r>
      <w:r>
        <w:rPr>
          <w:lang w:val="en-NG"/>
        </w:rPr>
        <w:t xml:space="preserve"> </w:t>
      </w:r>
      <w:r w:rsidRPr="007A48AC">
        <w:rPr>
          <w:lang w:val="en-NG"/>
        </w:rPr>
        <w:t>Push mobile banking features (e.g., expense tracking, budgeting tools) to make banking more useful.</w:t>
      </w:r>
      <w:r>
        <w:rPr>
          <w:lang w:val="en-NG"/>
        </w:rPr>
        <w:t xml:space="preserve"> </w:t>
      </w:r>
      <w:r w:rsidRPr="007A48AC">
        <w:rPr>
          <w:lang w:val="en-NG"/>
        </w:rPr>
        <w:t>Gamify banking (streak rewards for frequent logins, financial challenges).</w:t>
      </w:r>
    </w:p>
    <w:p w14:paraId="2CD500B1" w14:textId="77777777" w:rsidR="007A48AC" w:rsidRDefault="007A48AC" w:rsidP="007A48AC">
      <w:pPr>
        <w:rPr>
          <w:b/>
          <w:bCs/>
          <w:lang w:val="en-NG"/>
        </w:rPr>
      </w:pPr>
    </w:p>
    <w:p w14:paraId="6106A1D9" w14:textId="1DB7BCDC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lastRenderedPageBreak/>
        <w:t>Increase Digital Literacy &amp; Engagement for Seniors (61–75)</w:t>
      </w:r>
    </w:p>
    <w:p w14:paraId="4DCB808D" w14:textId="07D2153A" w:rsidR="007A48AC" w:rsidRPr="007A48AC" w:rsidRDefault="007A48AC" w:rsidP="007A48AC">
      <w:pPr>
        <w:numPr>
          <w:ilvl w:val="0"/>
          <w:numId w:val="19"/>
        </w:numPr>
        <w:rPr>
          <w:lang w:val="en-NG"/>
        </w:rPr>
      </w:pPr>
      <w:r w:rsidRPr="007A48AC">
        <w:rPr>
          <w:lang w:val="en-NG"/>
        </w:rPr>
        <w:t>Simplify app interfaces for older users (larger fonts, voice assistance, step-by-step tutorials).</w:t>
      </w:r>
      <w:r>
        <w:rPr>
          <w:lang w:val="en-NG"/>
        </w:rPr>
        <w:t xml:space="preserve"> </w:t>
      </w:r>
      <w:r w:rsidRPr="007A48AC">
        <w:rPr>
          <w:lang w:val="en-NG"/>
        </w:rPr>
        <w:t>Provide banking education sessions (virtual or physical) to teach digital banking security &amp; ease concerns.</w:t>
      </w:r>
      <w:r>
        <w:rPr>
          <w:lang w:val="en-NG"/>
        </w:rPr>
        <w:t xml:space="preserve"> </w:t>
      </w:r>
      <w:r w:rsidRPr="007A48AC">
        <w:rPr>
          <w:lang w:val="en-NG"/>
        </w:rPr>
        <w:t>Offer assisted services (dedicated customer support for seniors, phone-based banking for easier transactions).</w:t>
      </w:r>
    </w:p>
    <w:p w14:paraId="130F8807" w14:textId="77777777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t>Encourage Parents to Activate Child/Teen Accounts (0–15)</w:t>
      </w:r>
    </w:p>
    <w:p w14:paraId="366155FE" w14:textId="7DA5A719" w:rsidR="007A48AC" w:rsidRPr="007A48AC" w:rsidRDefault="007A48AC" w:rsidP="007A48AC">
      <w:pPr>
        <w:numPr>
          <w:ilvl w:val="0"/>
          <w:numId w:val="19"/>
        </w:numPr>
        <w:rPr>
          <w:lang w:val="en-NG"/>
        </w:rPr>
      </w:pPr>
      <w:r w:rsidRPr="007A48AC">
        <w:rPr>
          <w:lang w:val="en-NG"/>
        </w:rPr>
        <w:t>Introduce kid-friendly financial products (e.g., a savings challenge for kids).</w:t>
      </w:r>
      <w:r>
        <w:rPr>
          <w:lang w:val="en-NG"/>
        </w:rPr>
        <w:t xml:space="preserve"> </w:t>
      </w:r>
      <w:r w:rsidRPr="007A48AC">
        <w:rPr>
          <w:lang w:val="en-NG"/>
        </w:rPr>
        <w:t>Allow parental-controlled spending where kids can use debit cards with a limit set by guardians.</w:t>
      </w:r>
      <w:r>
        <w:rPr>
          <w:lang w:val="en-NG"/>
        </w:rPr>
        <w:t xml:space="preserve"> </w:t>
      </w:r>
      <w:r w:rsidRPr="007A48AC">
        <w:rPr>
          <w:lang w:val="en-NG"/>
        </w:rPr>
        <w:t>Financial education campaigns targeted at families to promote early financial literacy.</w:t>
      </w:r>
    </w:p>
    <w:p w14:paraId="4F2CC199" w14:textId="77777777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t>Maintain High Engagement Among Middle-Aged Customers</w:t>
      </w:r>
    </w:p>
    <w:p w14:paraId="02C7116C" w14:textId="41A6720A" w:rsidR="007A48AC" w:rsidRPr="007A48AC" w:rsidRDefault="007A48AC" w:rsidP="007A48AC">
      <w:pPr>
        <w:numPr>
          <w:ilvl w:val="0"/>
          <w:numId w:val="19"/>
        </w:numPr>
        <w:rPr>
          <w:lang w:val="en-NG"/>
        </w:rPr>
      </w:pPr>
      <w:r w:rsidRPr="007A48AC">
        <w:rPr>
          <w:lang w:val="en-NG"/>
        </w:rPr>
        <w:t>Continue offering seamless services (e.g., quick loan approvals, automated bill payments).</w:t>
      </w:r>
      <w:r>
        <w:rPr>
          <w:lang w:val="en-NG"/>
        </w:rPr>
        <w:t xml:space="preserve"> </w:t>
      </w:r>
      <w:r w:rsidRPr="007A48AC">
        <w:rPr>
          <w:lang w:val="en-NG"/>
        </w:rPr>
        <w:t>Introduce premium account perks for frequent users (lower fees, better interest rates).</w:t>
      </w:r>
      <w:r>
        <w:rPr>
          <w:lang w:val="en-NG"/>
        </w:rPr>
        <w:t xml:space="preserve"> </w:t>
      </w:r>
      <w:r w:rsidRPr="007A48AC">
        <w:rPr>
          <w:lang w:val="en-NG"/>
        </w:rPr>
        <w:t>Encourage investment opportunities (mutual funds, stock trading accounts, wealth management).</w:t>
      </w:r>
    </w:p>
    <w:p w14:paraId="2E879A1C" w14:textId="77777777" w:rsidR="007A48AC" w:rsidRDefault="007A48AC" w:rsidP="007A48AC">
      <w:pPr>
        <w:rPr>
          <w:lang w:val="en-NG"/>
        </w:rPr>
      </w:pPr>
    </w:p>
    <w:p w14:paraId="0A5DF203" w14:textId="486A7632" w:rsidR="007A48AC" w:rsidRPr="007A48AC" w:rsidRDefault="007A48AC" w:rsidP="007A48AC">
      <w:pPr>
        <w:pStyle w:val="ListParagraph"/>
        <w:numPr>
          <w:ilvl w:val="0"/>
          <w:numId w:val="1"/>
        </w:numPr>
        <w:rPr>
          <w:lang w:val="en-NG"/>
        </w:rPr>
      </w:pPr>
      <w:r w:rsidRPr="007A48AC">
        <w:rPr>
          <w:lang w:val="en-NG"/>
        </w:rPr>
        <w:t>How does average login age vary across different customer segments?</w:t>
      </w:r>
    </w:p>
    <w:p w14:paraId="57B8898F" w14:textId="50CC9AE8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t>Tier 0 Customers Are the Least Engaged (117 Hours on Average)</w:t>
      </w:r>
    </w:p>
    <w:p w14:paraId="246CB8F3" w14:textId="6DA740C7" w:rsidR="007A48AC" w:rsidRPr="007A48AC" w:rsidRDefault="007A48AC" w:rsidP="00B70FBD">
      <w:pPr>
        <w:numPr>
          <w:ilvl w:val="0"/>
          <w:numId w:val="20"/>
        </w:numPr>
        <w:rPr>
          <w:lang w:val="en-NG"/>
        </w:rPr>
      </w:pPr>
      <w:r w:rsidRPr="007A48AC">
        <w:rPr>
          <w:lang w:val="en-NG"/>
        </w:rPr>
        <w:t>These customers log in the least frequently. Possible reasons: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Lower financial activity – Many might have opened accounts but don’t actively use them.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Pending or blocked status – We saw earlier that all pending accounts are in Tier 0, which might contribute to inactivity.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Lack of premium banking benefits – They might not have incentives like better interest rates, lower fees, or exclusive services.</w:t>
      </w:r>
    </w:p>
    <w:p w14:paraId="7A00021D" w14:textId="719872F6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t>Tier 1 and Tier 2 Customers Are More Active (85 &amp; 81 Hours on Average)</w:t>
      </w:r>
    </w:p>
    <w:p w14:paraId="6A7161C5" w14:textId="60A98434" w:rsidR="007A48AC" w:rsidRPr="007A48AC" w:rsidRDefault="007A48AC" w:rsidP="00B70FBD">
      <w:pPr>
        <w:numPr>
          <w:ilvl w:val="0"/>
          <w:numId w:val="21"/>
        </w:numPr>
        <w:rPr>
          <w:lang w:val="en-NG"/>
        </w:rPr>
      </w:pPr>
      <w:r w:rsidRPr="007A48AC">
        <w:rPr>
          <w:lang w:val="en-NG"/>
        </w:rPr>
        <w:t>They log in more frequently than Tier 0 but still have room for improvement.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They may have more financial activity (savings, transactions, bill payments) compared to Tier 0.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Their login patterns suggest moderate banking dependence—they use the bank but not daily.</w:t>
      </w:r>
    </w:p>
    <w:p w14:paraId="1AC0B1EA" w14:textId="7D32FAF9" w:rsidR="007A48AC" w:rsidRPr="007A48AC" w:rsidRDefault="007A48AC" w:rsidP="007A48AC">
      <w:pPr>
        <w:rPr>
          <w:lang w:val="en-NG"/>
        </w:rPr>
      </w:pPr>
      <w:r w:rsidRPr="007A48AC">
        <w:rPr>
          <w:b/>
          <w:bCs/>
          <w:lang w:val="en-NG"/>
        </w:rPr>
        <w:t>Tier 3 Customers Are the Most Engaged (41 Hours on Average)</w:t>
      </w:r>
    </w:p>
    <w:p w14:paraId="65D34A81" w14:textId="21D02B97" w:rsidR="007A48AC" w:rsidRPr="007A48AC" w:rsidRDefault="007A48AC" w:rsidP="00B70FBD">
      <w:pPr>
        <w:numPr>
          <w:ilvl w:val="0"/>
          <w:numId w:val="22"/>
        </w:numPr>
        <w:rPr>
          <w:lang w:val="en-NG"/>
        </w:rPr>
      </w:pPr>
      <w:r w:rsidRPr="007A48AC">
        <w:rPr>
          <w:lang w:val="en-NG"/>
        </w:rPr>
        <w:t>These customers log in the most frequently, possibly due to: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Premium banking benefits (higher tier perks like better interest rates, lower fees, dedicated account managers).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Higher financial activity (investments, business transactions, high-value transfers).</w:t>
      </w:r>
      <w:r w:rsidR="00B70FBD">
        <w:rPr>
          <w:lang w:val="en-NG"/>
        </w:rPr>
        <w:t xml:space="preserve"> </w:t>
      </w:r>
      <w:r w:rsidRPr="007A48AC">
        <w:rPr>
          <w:lang w:val="en-NG"/>
        </w:rPr>
        <w:t>Greater dependency on digital banking for managing finances.</w:t>
      </w:r>
    </w:p>
    <w:p w14:paraId="6B1B59F0" w14:textId="77777777" w:rsidR="005F1A82" w:rsidRPr="005F1A82" w:rsidRDefault="005F1A82" w:rsidP="005F1A82">
      <w:pPr>
        <w:rPr>
          <w:b/>
          <w:bCs/>
          <w:lang w:val="en-NG"/>
        </w:rPr>
      </w:pPr>
      <w:r w:rsidRPr="005F1A82">
        <w:rPr>
          <w:b/>
          <w:bCs/>
          <w:lang w:val="en-NG"/>
        </w:rPr>
        <w:t>Recommendations</w:t>
      </w:r>
    </w:p>
    <w:p w14:paraId="13564739" w14:textId="77777777" w:rsidR="005F1A82" w:rsidRPr="005F1A82" w:rsidRDefault="005F1A82" w:rsidP="005F1A82">
      <w:pPr>
        <w:rPr>
          <w:lang w:val="en-NG"/>
        </w:rPr>
      </w:pPr>
      <w:r w:rsidRPr="005F1A82">
        <w:rPr>
          <w:b/>
          <w:bCs/>
          <w:lang w:val="en-NG"/>
        </w:rPr>
        <w:t>Re-Engage Tier 0 Customers to Reduce Inactivity</w:t>
      </w:r>
    </w:p>
    <w:p w14:paraId="7E493C19" w14:textId="5D3A47BC" w:rsidR="005F1A82" w:rsidRPr="005F1A82" w:rsidRDefault="005F1A82" w:rsidP="005F1A82">
      <w:pPr>
        <w:numPr>
          <w:ilvl w:val="0"/>
          <w:numId w:val="23"/>
        </w:numPr>
        <w:rPr>
          <w:lang w:val="en-NG"/>
        </w:rPr>
      </w:pPr>
      <w:r w:rsidRPr="005F1A82">
        <w:rPr>
          <w:lang w:val="en-NG"/>
        </w:rPr>
        <w:t>Incentivize transactions &amp; logins (e.g., small cash rewards or discounts for using the banking app).</w:t>
      </w:r>
      <w:r>
        <w:rPr>
          <w:lang w:val="en-NG"/>
        </w:rPr>
        <w:t xml:space="preserve"> </w:t>
      </w:r>
      <w:r w:rsidRPr="005F1A82">
        <w:rPr>
          <w:lang w:val="en-NG"/>
        </w:rPr>
        <w:t xml:space="preserve">Offer beginner-friendly financial tools (budgeting insights, savings challenges, educational </w:t>
      </w:r>
      <w:r w:rsidRPr="005F1A82">
        <w:rPr>
          <w:lang w:val="en-NG"/>
        </w:rPr>
        <w:lastRenderedPageBreak/>
        <w:t>content on money management).</w:t>
      </w:r>
      <w:r>
        <w:rPr>
          <w:lang w:val="en-NG"/>
        </w:rPr>
        <w:t xml:space="preserve"> </w:t>
      </w:r>
      <w:r w:rsidRPr="005F1A82">
        <w:rPr>
          <w:lang w:val="en-NG"/>
        </w:rPr>
        <w:t>Personalized reminders &amp; notifications (push notifications encouraging logins, “Check your balance” prompts).</w:t>
      </w:r>
      <w:r>
        <w:rPr>
          <w:lang w:val="en-NG"/>
        </w:rPr>
        <w:t xml:space="preserve"> </w:t>
      </w:r>
      <w:r w:rsidRPr="005F1A82">
        <w:rPr>
          <w:lang w:val="en-NG"/>
        </w:rPr>
        <w:t>Convert pending accounts to active with targeted outreach (emails/SMS to complete account setup).</w:t>
      </w:r>
    </w:p>
    <w:p w14:paraId="5A93776D" w14:textId="77777777" w:rsidR="005F1A82" w:rsidRPr="005F1A82" w:rsidRDefault="005F1A82" w:rsidP="005F1A82">
      <w:pPr>
        <w:rPr>
          <w:lang w:val="en-NG"/>
        </w:rPr>
      </w:pPr>
      <w:r w:rsidRPr="005F1A82">
        <w:rPr>
          <w:b/>
          <w:bCs/>
          <w:lang w:val="en-NG"/>
        </w:rPr>
        <w:t>Encourage Tier 1 &amp; 2 Customers to Increase Engagement</w:t>
      </w:r>
    </w:p>
    <w:p w14:paraId="0B98CA14" w14:textId="29072C39" w:rsidR="005F1A82" w:rsidRPr="005F1A82" w:rsidRDefault="005F1A82" w:rsidP="005F1A82">
      <w:pPr>
        <w:numPr>
          <w:ilvl w:val="0"/>
          <w:numId w:val="23"/>
        </w:numPr>
        <w:rPr>
          <w:lang w:val="en-NG"/>
        </w:rPr>
      </w:pPr>
      <w:r w:rsidRPr="005F1A82">
        <w:rPr>
          <w:lang w:val="en-NG"/>
        </w:rPr>
        <w:t>Introduce tier-based rewards (exclusive benefits like reduced transfer fees for frequent app usage).</w:t>
      </w:r>
      <w:r>
        <w:rPr>
          <w:lang w:val="en-NG"/>
        </w:rPr>
        <w:t xml:space="preserve"> </w:t>
      </w:r>
      <w:r w:rsidRPr="005F1A82">
        <w:rPr>
          <w:lang w:val="en-NG"/>
        </w:rPr>
        <w:t>Expand financial planning features (goal-based savings, investment options, automated bill payments).</w:t>
      </w:r>
      <w:r>
        <w:rPr>
          <w:lang w:val="en-NG"/>
        </w:rPr>
        <w:t xml:space="preserve"> </w:t>
      </w:r>
      <w:r w:rsidRPr="005F1A82">
        <w:rPr>
          <w:lang w:val="en-NG"/>
        </w:rPr>
        <w:t>Exclusive promotions for mid-tier customers (free insurance, travel perks for logging in &amp; transacting more).</w:t>
      </w:r>
    </w:p>
    <w:p w14:paraId="7F8D13EA" w14:textId="77777777" w:rsidR="005F1A82" w:rsidRPr="005F1A82" w:rsidRDefault="005F1A82" w:rsidP="005F1A82">
      <w:pPr>
        <w:rPr>
          <w:lang w:val="en-NG"/>
        </w:rPr>
      </w:pPr>
      <w:r w:rsidRPr="005F1A82">
        <w:rPr>
          <w:b/>
          <w:bCs/>
          <w:lang w:val="en-NG"/>
        </w:rPr>
        <w:t>Sustain &amp; Grow Engagement for Tier 3 Customers</w:t>
      </w:r>
    </w:p>
    <w:p w14:paraId="687880F3" w14:textId="3BA583D6" w:rsidR="005F1A82" w:rsidRPr="005F1A82" w:rsidRDefault="005F1A82" w:rsidP="005F1A82">
      <w:pPr>
        <w:numPr>
          <w:ilvl w:val="0"/>
          <w:numId w:val="23"/>
        </w:numPr>
        <w:rPr>
          <w:lang w:val="en-NG"/>
        </w:rPr>
      </w:pPr>
      <w:r w:rsidRPr="005F1A82">
        <w:rPr>
          <w:lang w:val="en-NG"/>
        </w:rPr>
        <w:t>Offer premium, high-value features (AI-powered financial insights, personalized investment recommendations).</w:t>
      </w:r>
      <w:r>
        <w:rPr>
          <w:lang w:val="en-NG"/>
        </w:rPr>
        <w:t xml:space="preserve"> </w:t>
      </w:r>
      <w:r w:rsidRPr="005F1A82">
        <w:rPr>
          <w:lang w:val="en-NG"/>
        </w:rPr>
        <w:t>Loyalty &amp; referral programs (reward them for referring other high-value clients).</w:t>
      </w:r>
      <w:r>
        <w:rPr>
          <w:lang w:val="en-NG"/>
        </w:rPr>
        <w:t xml:space="preserve"> </w:t>
      </w:r>
      <w:r w:rsidRPr="005F1A82">
        <w:rPr>
          <w:lang w:val="en-NG"/>
        </w:rPr>
        <w:t>Exclusive customer service perks (priority customer support, access to financial advisors).</w:t>
      </w:r>
    </w:p>
    <w:p w14:paraId="31D652C4" w14:textId="77777777" w:rsidR="005F1A82" w:rsidRDefault="005F1A82" w:rsidP="005F1A82">
      <w:pPr>
        <w:rPr>
          <w:lang w:val="en-NG"/>
        </w:rPr>
      </w:pPr>
    </w:p>
    <w:p w14:paraId="68DC017B" w14:textId="26BAF4A0" w:rsidR="005F1A82" w:rsidRPr="005F1A82" w:rsidRDefault="005F1A82" w:rsidP="005F1A82">
      <w:pPr>
        <w:pStyle w:val="ListParagraph"/>
        <w:numPr>
          <w:ilvl w:val="0"/>
          <w:numId w:val="1"/>
        </w:numPr>
        <w:rPr>
          <w:lang w:val="en-NG"/>
        </w:rPr>
      </w:pPr>
      <w:r w:rsidRPr="005F1A82">
        <w:rPr>
          <w:lang w:val="en-NG"/>
        </w:rPr>
        <w:t>Which locations have the most inactive accounts?</w:t>
      </w:r>
    </w:p>
    <w:p w14:paraId="63E116C4" w14:textId="1359AAA1" w:rsidR="005F1A82" w:rsidRPr="005F1A82" w:rsidRDefault="005F1A82" w:rsidP="005F1A82">
      <w:pPr>
        <w:rPr>
          <w:lang w:val="en-NG"/>
        </w:rPr>
      </w:pPr>
      <w:r w:rsidRPr="005F1A82">
        <w:rPr>
          <w:b/>
          <w:bCs/>
          <w:lang w:val="en-NG"/>
        </w:rPr>
        <w:t>Kenya Has the Most Inactive Accounts (129 Hours on Average)</w:t>
      </w:r>
    </w:p>
    <w:p w14:paraId="181CA56E" w14:textId="368FA804" w:rsidR="005F1A82" w:rsidRPr="005F1A82" w:rsidRDefault="005F1A82" w:rsidP="00FD0EE2">
      <w:pPr>
        <w:numPr>
          <w:ilvl w:val="0"/>
          <w:numId w:val="24"/>
        </w:numPr>
        <w:rPr>
          <w:lang w:val="en-NG"/>
        </w:rPr>
      </w:pPr>
      <w:r w:rsidRPr="005F1A82">
        <w:rPr>
          <w:lang w:val="en-NG"/>
        </w:rPr>
        <w:t>Customers in Kenya log in the least frequently, suggesting lower banking engagement.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Possible reasons: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Lack of digital banking adoption – Customers may prefer cash or other financial services.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User experience issues – Slow app performance or poor customer satisfaction.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Limited incentives – No strong reason for frequent logins (e.g., rewards, financial tools).</w:t>
      </w:r>
    </w:p>
    <w:p w14:paraId="1E032E60" w14:textId="0AB9F272" w:rsidR="005F1A82" w:rsidRPr="005F1A82" w:rsidRDefault="005F1A82" w:rsidP="005F1A82">
      <w:pPr>
        <w:rPr>
          <w:lang w:val="en-NG"/>
        </w:rPr>
      </w:pPr>
      <w:r w:rsidRPr="005F1A82">
        <w:rPr>
          <w:b/>
          <w:bCs/>
          <w:lang w:val="en-NG"/>
        </w:rPr>
        <w:t>Ghana &amp; Nigeria Have Similar, Moderately Inactive Customers (109 &amp; 108 Hours on Average)</w:t>
      </w:r>
    </w:p>
    <w:p w14:paraId="76C6432E" w14:textId="7BF324C7" w:rsidR="005F1A82" w:rsidRPr="005F1A82" w:rsidRDefault="005F1A82" w:rsidP="00FD0EE2">
      <w:pPr>
        <w:numPr>
          <w:ilvl w:val="0"/>
          <w:numId w:val="25"/>
        </w:numPr>
        <w:rPr>
          <w:lang w:val="en-NG"/>
        </w:rPr>
      </w:pPr>
      <w:r w:rsidRPr="005F1A82">
        <w:rPr>
          <w:lang w:val="en-NG"/>
        </w:rPr>
        <w:t>Accounts in these countries are inactive for over 4 days on average.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Possible causes: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 xml:space="preserve">Similar banking </w:t>
      </w:r>
      <w:r w:rsidR="00FD0EE2" w:rsidRPr="005F1A82">
        <w:rPr>
          <w:lang w:val="en-NG"/>
        </w:rPr>
        <w:t>behaviours</w:t>
      </w:r>
      <w:r w:rsidRPr="005F1A82">
        <w:rPr>
          <w:lang w:val="en-NG"/>
        </w:rPr>
        <w:t xml:space="preserve"> – Customers might use physical branches more than digital platforms.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Lack of engaging digital features – Users may not find the platform useful beyond occasional transactions.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Pending accounts &amp; blocked users – Could be inflating inactivity levels.</w:t>
      </w:r>
    </w:p>
    <w:p w14:paraId="2F0C2031" w14:textId="7BF8CC8D" w:rsidR="005F1A82" w:rsidRPr="005F1A82" w:rsidRDefault="005F1A82" w:rsidP="005F1A82">
      <w:pPr>
        <w:rPr>
          <w:lang w:val="en-NG"/>
        </w:rPr>
      </w:pPr>
      <w:r w:rsidRPr="005F1A82">
        <w:rPr>
          <w:b/>
          <w:bCs/>
          <w:lang w:val="en-NG"/>
        </w:rPr>
        <w:t>The United Kingdom Has the Most Active Users (48 Hours on Average)</w:t>
      </w:r>
    </w:p>
    <w:p w14:paraId="6D8F689F" w14:textId="36497D0F" w:rsidR="005F1A82" w:rsidRPr="005F1A82" w:rsidRDefault="005F1A82" w:rsidP="00FD0EE2">
      <w:pPr>
        <w:numPr>
          <w:ilvl w:val="0"/>
          <w:numId w:val="26"/>
        </w:numPr>
        <w:rPr>
          <w:lang w:val="en-NG"/>
        </w:rPr>
      </w:pPr>
      <w:r w:rsidRPr="005F1A82">
        <w:rPr>
          <w:lang w:val="en-NG"/>
        </w:rPr>
        <w:t>UK customers log in far more frequently than other regions.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Possible reasons: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Stronger digital banking culture – Online banking is more ingrained in daily financial habits.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More advanced banking features – UK users may have access to superior financial planning tools.</w:t>
      </w:r>
      <w:r w:rsidR="00FD0EE2">
        <w:rPr>
          <w:lang w:val="en-NG"/>
        </w:rPr>
        <w:t xml:space="preserve"> </w:t>
      </w:r>
      <w:r w:rsidRPr="005F1A82">
        <w:rPr>
          <w:lang w:val="en-NG"/>
        </w:rPr>
        <w:t>Higher dependence on online transactions – UK customers might rely more on the bank for bill payments, investments, or credit services.</w:t>
      </w:r>
    </w:p>
    <w:p w14:paraId="78ED1F1F" w14:textId="1AF34E73" w:rsidR="00A257A4" w:rsidRDefault="00FD0EE2" w:rsidP="002B3C73">
      <w:pPr>
        <w:rPr>
          <w:b/>
          <w:bCs/>
        </w:rPr>
      </w:pPr>
      <w:r w:rsidRPr="00FD0EE2">
        <w:rPr>
          <w:b/>
          <w:bCs/>
        </w:rPr>
        <w:t>Recommendations</w:t>
      </w:r>
    </w:p>
    <w:p w14:paraId="4B2C97F5" w14:textId="45FA431A" w:rsidR="00FD0EE2" w:rsidRPr="00FD0EE2" w:rsidRDefault="00FD0EE2" w:rsidP="00FD0EE2">
      <w:pPr>
        <w:rPr>
          <w:lang w:val="en-NG"/>
        </w:rPr>
      </w:pPr>
      <w:r w:rsidRPr="00FD0EE2">
        <w:rPr>
          <w:b/>
          <w:bCs/>
          <w:lang w:val="en-NG"/>
        </w:rPr>
        <w:t>Target Kenya First for Digital Banking Adoption</w:t>
      </w:r>
    </w:p>
    <w:p w14:paraId="65674793" w14:textId="6AF961B8" w:rsidR="00FD0EE2" w:rsidRPr="00FD0EE2" w:rsidRDefault="00FD0EE2" w:rsidP="00FD0EE2">
      <w:pPr>
        <w:numPr>
          <w:ilvl w:val="0"/>
          <w:numId w:val="27"/>
        </w:numPr>
        <w:rPr>
          <w:lang w:val="en-NG"/>
        </w:rPr>
      </w:pPr>
      <w:r w:rsidRPr="00FD0EE2">
        <w:rPr>
          <w:lang w:val="en-NG"/>
        </w:rPr>
        <w:t>Introduce login incentives (small bonuses for using the app more frequently).</w:t>
      </w:r>
      <w:r>
        <w:rPr>
          <w:lang w:val="en-NG"/>
        </w:rPr>
        <w:t xml:space="preserve"> </w:t>
      </w:r>
      <w:r w:rsidRPr="00FD0EE2">
        <w:rPr>
          <w:lang w:val="en-NG"/>
        </w:rPr>
        <w:t>Improve mobile banking experience (check if app speed, UX, or customer service is a barrier).</w:t>
      </w:r>
      <w:r>
        <w:rPr>
          <w:lang w:val="en-NG"/>
        </w:rPr>
        <w:t xml:space="preserve"> </w:t>
      </w:r>
      <w:r w:rsidRPr="00FD0EE2">
        <w:rPr>
          <w:lang w:val="en-NG"/>
        </w:rPr>
        <w:t>Partner with local businesses to encourage digital payments and increase banking activity.</w:t>
      </w:r>
    </w:p>
    <w:p w14:paraId="4631C69E" w14:textId="0BE33710" w:rsidR="00FD0EE2" w:rsidRPr="00FD0EE2" w:rsidRDefault="00FD0EE2" w:rsidP="00FD0EE2">
      <w:pPr>
        <w:rPr>
          <w:lang w:val="en-NG"/>
        </w:rPr>
      </w:pPr>
      <w:r w:rsidRPr="00FD0EE2">
        <w:rPr>
          <w:b/>
          <w:bCs/>
          <w:lang w:val="en-NG"/>
        </w:rPr>
        <w:lastRenderedPageBreak/>
        <w:t>Boost Engagement in Ghana &amp; Nigeria</w:t>
      </w:r>
    </w:p>
    <w:p w14:paraId="6BBE5042" w14:textId="1DBBDB1A" w:rsidR="00FD0EE2" w:rsidRPr="00FD0EE2" w:rsidRDefault="00FD0EE2" w:rsidP="00FD0EE2">
      <w:pPr>
        <w:numPr>
          <w:ilvl w:val="0"/>
          <w:numId w:val="28"/>
        </w:numPr>
        <w:rPr>
          <w:lang w:val="en-NG"/>
        </w:rPr>
      </w:pPr>
      <w:r w:rsidRPr="00FD0EE2">
        <w:rPr>
          <w:lang w:val="en-NG"/>
        </w:rPr>
        <w:t>Introduce financial education campaigns (how digital banking makes life easier).</w:t>
      </w:r>
      <w:r>
        <w:rPr>
          <w:lang w:val="en-NG"/>
        </w:rPr>
        <w:t xml:space="preserve"> </w:t>
      </w:r>
      <w:r w:rsidRPr="00FD0EE2">
        <w:rPr>
          <w:lang w:val="en-NG"/>
        </w:rPr>
        <w:t>Push notifications &amp; SMS reminders (transaction alerts, balance updates, personalized offers).</w:t>
      </w:r>
      <w:r>
        <w:rPr>
          <w:lang w:val="en-NG"/>
        </w:rPr>
        <w:t xml:space="preserve"> </w:t>
      </w:r>
      <w:r w:rsidRPr="00FD0EE2">
        <w:rPr>
          <w:lang w:val="en-NG"/>
        </w:rPr>
        <w:t>Reward active users (discounts, lower fees, or cashback for frequent logins).</w:t>
      </w:r>
    </w:p>
    <w:p w14:paraId="7F19E125" w14:textId="2FF0ED4D" w:rsidR="00FD0EE2" w:rsidRPr="00FD0EE2" w:rsidRDefault="00FD0EE2" w:rsidP="00FD0EE2">
      <w:pPr>
        <w:rPr>
          <w:lang w:val="en-NG"/>
        </w:rPr>
      </w:pPr>
      <w:r w:rsidRPr="00FD0EE2">
        <w:rPr>
          <w:b/>
          <w:bCs/>
          <w:lang w:val="en-NG"/>
        </w:rPr>
        <w:t>Leverage the UK Model for Other Markets</w:t>
      </w:r>
    </w:p>
    <w:p w14:paraId="2AEEA6C2" w14:textId="6E217F2A" w:rsidR="00FD0EE2" w:rsidRPr="00FD0EE2" w:rsidRDefault="00FD0EE2" w:rsidP="00FD0EE2">
      <w:pPr>
        <w:numPr>
          <w:ilvl w:val="0"/>
          <w:numId w:val="29"/>
        </w:numPr>
        <w:rPr>
          <w:lang w:val="en-NG"/>
        </w:rPr>
      </w:pPr>
      <w:r w:rsidRPr="00FD0EE2">
        <w:rPr>
          <w:lang w:val="en-NG"/>
        </w:rPr>
        <w:t>Analyse</w:t>
      </w:r>
      <w:r w:rsidRPr="00FD0EE2">
        <w:rPr>
          <w:lang w:val="en-NG"/>
        </w:rPr>
        <w:t xml:space="preserve"> why UK users are more active and apply successful strategies to other regions.</w:t>
      </w:r>
      <w:r>
        <w:rPr>
          <w:lang w:val="en-NG"/>
        </w:rPr>
        <w:t xml:space="preserve"> </w:t>
      </w:r>
      <w:r w:rsidRPr="00FD0EE2">
        <w:rPr>
          <w:lang w:val="en-NG"/>
        </w:rPr>
        <w:t>Offer UK-exclusive features in other countries (e.g., advanced financial planning tools, better transaction tracking).</w:t>
      </w:r>
      <w:r>
        <w:rPr>
          <w:lang w:val="en-NG"/>
        </w:rPr>
        <w:t xml:space="preserve"> </w:t>
      </w:r>
      <w:r w:rsidRPr="00FD0EE2">
        <w:rPr>
          <w:lang w:val="en-NG"/>
        </w:rPr>
        <w:t>Encourage cross-market insights – If UK customers engage more due to specific perks, those perks should be tested in other regions.</w:t>
      </w:r>
    </w:p>
    <w:p w14:paraId="660DF23E" w14:textId="77777777" w:rsidR="00FD0EE2" w:rsidRDefault="00FD0EE2" w:rsidP="002B3C73"/>
    <w:p w14:paraId="1EC8B32E" w14:textId="77777777" w:rsidR="00FD0EE2" w:rsidRPr="00EA55F7" w:rsidRDefault="00FD0EE2" w:rsidP="00FD0EE2">
      <w:pPr>
        <w:pStyle w:val="ListParagraph"/>
        <w:numPr>
          <w:ilvl w:val="0"/>
          <w:numId w:val="1"/>
        </w:numPr>
        <w:rPr>
          <w:lang w:val="en-NG"/>
        </w:rPr>
      </w:pPr>
      <w:r w:rsidRPr="00EA55F7">
        <w:rPr>
          <w:lang w:val="en-NG"/>
        </w:rPr>
        <w:t>What are the most common types of transactions, and how do they vary by quarter?</w:t>
      </w:r>
    </w:p>
    <w:p w14:paraId="3F7F42B2" w14:textId="726DB630" w:rsidR="00965EB0" w:rsidRPr="00965EB0" w:rsidRDefault="00965EB0" w:rsidP="00965EB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NG" w:eastAsia="en-NG"/>
          <w14:ligatures w14:val="none"/>
        </w:rPr>
      </w:pP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 xml:space="preserve">Outward Transactions Dominate Overall (1.3 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>billion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 xml:space="preserve"> Naira)</w:t>
      </w:r>
    </w:p>
    <w:p w14:paraId="5D5A32B6" w14:textId="7D07ACA8" w:rsidR="00965EB0" w:rsidRPr="00965EB0" w:rsidRDefault="00965EB0" w:rsidP="00965E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NG" w:eastAsia="en-NG"/>
          <w14:ligatures w14:val="none"/>
        </w:rPr>
      </w:pP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More money is 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>flowing out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than coming in (1.3B outward vs. 1.2B inward).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Possible reasons: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Customers frequently send money to other banks or institutions.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Businesses &amp; individuals use external accounts for transactions rather than keeping funds within the bank.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A sign of strong outbound payment activity (bills, salaries, vendor payments).</w:t>
      </w:r>
    </w:p>
    <w:p w14:paraId="68585D36" w14:textId="2E43AD91" w:rsidR="00965EB0" w:rsidRPr="00965EB0" w:rsidRDefault="00965EB0" w:rsidP="00965EB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NG" w:eastAsia="en-NG"/>
          <w14:ligatures w14:val="none"/>
        </w:rPr>
      </w:pP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 xml:space="preserve">Inward Transactions Are Also High (1.2 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>billion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 xml:space="preserve"> Naira)</w:t>
      </w:r>
    </w:p>
    <w:p w14:paraId="759783C6" w14:textId="3DD9CA90" w:rsidR="00965EB0" w:rsidRPr="00965EB0" w:rsidRDefault="00965EB0" w:rsidP="00965E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NG" w:eastAsia="en-NG"/>
          <w14:ligatures w14:val="none"/>
        </w:rPr>
      </w:pP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The high inward transactions suggest strong deposits or incoming transfers from other banks.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Possible reasons: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Business accounts receiving payments from customers.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High remittance flow (possibly from international transactions).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Companies and individuals depositing funds back into their accounts.</w:t>
      </w:r>
    </w:p>
    <w:p w14:paraId="50A738DE" w14:textId="149151CF" w:rsidR="00965EB0" w:rsidRPr="00965EB0" w:rsidRDefault="00965EB0" w:rsidP="00965EB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NG" w:eastAsia="en-NG"/>
          <w14:ligatures w14:val="none"/>
        </w:rPr>
      </w:pP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 xml:space="preserve">Internal Transactions Are the Lowest (409.8 </w:t>
      </w:r>
      <w:r w:rsidR="00076496"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>million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 xml:space="preserve"> Naira)</w:t>
      </w:r>
    </w:p>
    <w:p w14:paraId="64AA2A4F" w14:textId="0125E7B4" w:rsidR="00965EB0" w:rsidRPr="00965EB0" w:rsidRDefault="00965EB0" w:rsidP="00965E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NG" w:eastAsia="en-NG"/>
          <w14:ligatures w14:val="none"/>
        </w:rPr>
      </w:pP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This indicates fewer </w:t>
      </w:r>
      <w:r w:rsidRPr="00965EB0">
        <w:rPr>
          <w:rFonts w:ascii="Calibri" w:eastAsia="Times New Roman" w:hAnsi="Calibri" w:cs="Calibri"/>
          <w:b/>
          <w:bCs/>
          <w:kern w:val="0"/>
          <w:lang w:val="en-NG" w:eastAsia="en-NG"/>
          <w14:ligatures w14:val="none"/>
        </w:rPr>
        <w:t>bank-to-bank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transfers within the same institution.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Possible reasons: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Customers prefer transferring funds outside the bank rather than between accounts in the same bank.</w:t>
      </w:r>
      <w:r>
        <w:rPr>
          <w:rFonts w:ascii="Calibri" w:eastAsia="Times New Roman" w:hAnsi="Calibri" w:cs="Calibri"/>
          <w:kern w:val="0"/>
          <w:lang w:val="en-NG" w:eastAsia="en-NG"/>
          <w14:ligatures w14:val="none"/>
        </w:rPr>
        <w:t xml:space="preserve"> </w:t>
      </w:r>
      <w:r w:rsidRPr="00965EB0">
        <w:rPr>
          <w:rFonts w:ascii="Calibri" w:eastAsia="Times New Roman" w:hAnsi="Calibri" w:cs="Calibri"/>
          <w:kern w:val="0"/>
          <w:lang w:val="en-NG" w:eastAsia="en-NG"/>
          <w14:ligatures w14:val="none"/>
        </w:rPr>
        <w:t>Business clients or individuals do not frequently use multiple accounts within the same bank.</w:t>
      </w:r>
    </w:p>
    <w:p w14:paraId="3AC54649" w14:textId="77777777" w:rsidR="00076496" w:rsidRPr="00076496" w:rsidRDefault="00076496" w:rsidP="00076496">
      <w:pPr>
        <w:rPr>
          <w:b/>
          <w:bCs/>
          <w:lang w:val="en-NG"/>
        </w:rPr>
      </w:pPr>
      <w:r w:rsidRPr="00076496">
        <w:rPr>
          <w:b/>
          <w:bCs/>
          <w:lang w:val="en-NG"/>
        </w:rPr>
        <w:t>Quarterly Trends Analysis</w:t>
      </w:r>
    </w:p>
    <w:p w14:paraId="3D263B5B" w14:textId="77777777" w:rsidR="00076496" w:rsidRPr="00076496" w:rsidRDefault="00076496" w:rsidP="00076496">
      <w:pPr>
        <w:rPr>
          <w:lang w:val="en-NG"/>
        </w:rPr>
      </w:pPr>
      <w:r w:rsidRPr="00076496">
        <w:rPr>
          <w:b/>
          <w:bCs/>
          <w:lang w:val="en-NG"/>
        </w:rPr>
        <w:t>Q2 2024 – Slowest Transaction Activity (119M Naira Total)</w:t>
      </w:r>
    </w:p>
    <w:p w14:paraId="7EBFEDEB" w14:textId="77777777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Outward: 37M | Inward: 21M | Internal: 60M</w:t>
      </w:r>
    </w:p>
    <w:p w14:paraId="4FD9DC70" w14:textId="32F44954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Key Observations</w:t>
      </w:r>
      <w:r w:rsidRPr="00076496">
        <w:rPr>
          <w:b/>
          <w:bCs/>
          <w:lang w:val="en-NG"/>
        </w:rPr>
        <w:t>:</w:t>
      </w:r>
      <w:r>
        <w:rPr>
          <w:lang w:val="en-NG"/>
        </w:rPr>
        <w:t xml:space="preserve"> </w:t>
      </w:r>
      <w:r w:rsidRPr="00076496">
        <w:rPr>
          <w:lang w:val="en-NG"/>
        </w:rPr>
        <w:t>Internal transfers were the highest compared to outward and inward, meaning most transfers were within the same bank.</w:t>
      </w:r>
      <w:r>
        <w:rPr>
          <w:lang w:val="en-NG"/>
        </w:rPr>
        <w:t xml:space="preserve"> </w:t>
      </w:r>
      <w:r w:rsidRPr="00076496">
        <w:rPr>
          <w:lang w:val="en-NG"/>
        </w:rPr>
        <w:t>External banking transactions were low, indicating low overall financial activity in this quarter.</w:t>
      </w:r>
    </w:p>
    <w:p w14:paraId="0ACD4B34" w14:textId="77777777" w:rsidR="00076496" w:rsidRDefault="00076496" w:rsidP="00076496">
      <w:pPr>
        <w:rPr>
          <w:lang w:val="en-NG"/>
        </w:rPr>
      </w:pPr>
    </w:p>
    <w:p w14:paraId="08AF9F9D" w14:textId="60ADE8EA" w:rsidR="00076496" w:rsidRPr="00076496" w:rsidRDefault="00076496" w:rsidP="00076496">
      <w:pPr>
        <w:rPr>
          <w:lang w:val="en-NG"/>
        </w:rPr>
      </w:pPr>
      <w:r w:rsidRPr="00076496">
        <w:rPr>
          <w:b/>
          <w:bCs/>
          <w:lang w:val="en-NG"/>
        </w:rPr>
        <w:lastRenderedPageBreak/>
        <w:t>Q3 2024 – Significant Growth (727M Naira Total)</w:t>
      </w:r>
    </w:p>
    <w:p w14:paraId="548B0D65" w14:textId="77777777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Outward: 308M | Inward: 293M | Internal: 125M</w:t>
      </w:r>
    </w:p>
    <w:p w14:paraId="48E235BF" w14:textId="4C31D36D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Key Observations:</w:t>
      </w:r>
      <w:r>
        <w:rPr>
          <w:lang w:val="en-NG"/>
        </w:rPr>
        <w:t xml:space="preserve"> </w:t>
      </w:r>
      <w:r w:rsidRPr="00076496">
        <w:rPr>
          <w:lang w:val="en-NG"/>
        </w:rPr>
        <w:t>Massive increase from Q2 (over 6× growth in transaction volume).</w:t>
      </w:r>
      <w:r>
        <w:rPr>
          <w:lang w:val="en-NG"/>
        </w:rPr>
        <w:t xml:space="preserve"> </w:t>
      </w:r>
      <w:r w:rsidRPr="00076496">
        <w:rPr>
          <w:lang w:val="en-NG"/>
        </w:rPr>
        <w:t>Outward &amp; inward transfers are almost balanced, showing healthy banking activity.</w:t>
      </w:r>
      <w:r>
        <w:rPr>
          <w:lang w:val="en-NG"/>
        </w:rPr>
        <w:t xml:space="preserve"> </w:t>
      </w:r>
      <w:r w:rsidRPr="00076496">
        <w:rPr>
          <w:lang w:val="en-NG"/>
        </w:rPr>
        <w:t>Internal transfers also grew, meaning more users engaged in intra-bank transactions.</w:t>
      </w:r>
    </w:p>
    <w:p w14:paraId="2934AD57" w14:textId="77777777" w:rsidR="00076496" w:rsidRPr="00076496" w:rsidRDefault="00076496" w:rsidP="00076496">
      <w:pPr>
        <w:rPr>
          <w:lang w:val="en-NG"/>
        </w:rPr>
      </w:pPr>
      <w:r w:rsidRPr="00076496">
        <w:rPr>
          <w:b/>
          <w:bCs/>
          <w:lang w:val="en-NG"/>
        </w:rPr>
        <w:t>Q4 2024 – Peak Activity (1.13B Naira Total)</w:t>
      </w:r>
    </w:p>
    <w:p w14:paraId="64EAAAFC" w14:textId="77777777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Outward: 529M | Inward: 499M | Internal: 109M</w:t>
      </w:r>
    </w:p>
    <w:p w14:paraId="64A600CA" w14:textId="165EE781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Key Observations:</w:t>
      </w:r>
      <w:r>
        <w:rPr>
          <w:lang w:val="en-NG"/>
        </w:rPr>
        <w:t xml:space="preserve"> </w:t>
      </w:r>
      <w:r w:rsidRPr="00076496">
        <w:rPr>
          <w:lang w:val="en-NG"/>
        </w:rPr>
        <w:t>The highest transaction volume, likely due to end-of-year spending (holidays, bonuses, business transactions).</w:t>
      </w:r>
      <w:r>
        <w:rPr>
          <w:lang w:val="en-NG"/>
        </w:rPr>
        <w:t xml:space="preserve"> </w:t>
      </w:r>
      <w:r w:rsidRPr="00076496">
        <w:rPr>
          <w:lang w:val="en-NG"/>
        </w:rPr>
        <w:t>Outward transactions peaked, possibly indicating major expenditures, business payments, and consumer shopping.</w:t>
      </w:r>
      <w:r>
        <w:rPr>
          <w:lang w:val="en-NG"/>
        </w:rPr>
        <w:t xml:space="preserve"> </w:t>
      </w:r>
      <w:r w:rsidRPr="00076496">
        <w:rPr>
          <w:lang w:val="en-NG"/>
        </w:rPr>
        <w:t>Internal transfers dropped slightly despite the overall growth, suggesting most funds moved externally.</w:t>
      </w:r>
    </w:p>
    <w:p w14:paraId="4F793D58" w14:textId="77777777" w:rsidR="00076496" w:rsidRPr="00076496" w:rsidRDefault="00076496" w:rsidP="00076496">
      <w:pPr>
        <w:rPr>
          <w:lang w:val="en-NG"/>
        </w:rPr>
      </w:pPr>
      <w:r w:rsidRPr="00076496">
        <w:rPr>
          <w:b/>
          <w:bCs/>
          <w:lang w:val="en-NG"/>
        </w:rPr>
        <w:t>Q1 2025 – Decline After Peak (937M Naira Total)</w:t>
      </w:r>
    </w:p>
    <w:p w14:paraId="79332B63" w14:textId="77777777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Outward: 427M | Inward: 394M | Internal: 114M</w:t>
      </w:r>
    </w:p>
    <w:p w14:paraId="4684731C" w14:textId="649DD45C" w:rsidR="00076496" w:rsidRPr="00076496" w:rsidRDefault="00076496" w:rsidP="00076496">
      <w:pPr>
        <w:numPr>
          <w:ilvl w:val="0"/>
          <w:numId w:val="34"/>
        </w:numPr>
        <w:rPr>
          <w:lang w:val="en-NG"/>
        </w:rPr>
      </w:pPr>
      <w:r w:rsidRPr="00076496">
        <w:rPr>
          <w:lang w:val="en-NG"/>
        </w:rPr>
        <w:t>Key Observations:</w:t>
      </w:r>
      <w:r>
        <w:rPr>
          <w:lang w:val="en-NG"/>
        </w:rPr>
        <w:t xml:space="preserve"> </w:t>
      </w:r>
      <w:r w:rsidRPr="00076496">
        <w:rPr>
          <w:lang w:val="en-NG"/>
        </w:rPr>
        <w:t>20% decrease from Q4 but still higher than Q3.</w:t>
      </w:r>
      <w:r>
        <w:rPr>
          <w:lang w:val="en-NG"/>
        </w:rPr>
        <w:t xml:space="preserve"> </w:t>
      </w:r>
      <w:r w:rsidRPr="00076496">
        <w:rPr>
          <w:lang w:val="en-NG"/>
        </w:rPr>
        <w:t>Outward transactions dropped (from 529M to 427M), likely due to post-holiday financial recovery.</w:t>
      </w:r>
      <w:r>
        <w:rPr>
          <w:lang w:val="en-NG"/>
        </w:rPr>
        <w:t xml:space="preserve"> </w:t>
      </w:r>
      <w:r w:rsidRPr="00076496">
        <w:rPr>
          <w:lang w:val="en-NG"/>
        </w:rPr>
        <w:t>Inward transfers also dropped, which could indicate fewer deposits or a slowdown in business payments.</w:t>
      </w:r>
      <w:r>
        <w:rPr>
          <w:lang w:val="en-NG"/>
        </w:rPr>
        <w:t xml:space="preserve"> </w:t>
      </w:r>
      <w:r w:rsidRPr="00076496">
        <w:rPr>
          <w:lang w:val="en-NG"/>
        </w:rPr>
        <w:t>Internal transfers slightly increased but remained the least common type.</w:t>
      </w:r>
    </w:p>
    <w:p w14:paraId="3E30A635" w14:textId="1F740644" w:rsidR="00FD0EE2" w:rsidRDefault="00076496" w:rsidP="002B3C73">
      <w:pPr>
        <w:rPr>
          <w:b/>
          <w:bCs/>
        </w:rPr>
      </w:pPr>
      <w:r w:rsidRPr="00076496">
        <w:rPr>
          <w:b/>
          <w:bCs/>
        </w:rPr>
        <w:t>Recommendations</w:t>
      </w:r>
    </w:p>
    <w:p w14:paraId="12EEF41E" w14:textId="755F9322" w:rsidR="00076496" w:rsidRPr="00076496" w:rsidRDefault="00076496" w:rsidP="00076496">
      <w:pPr>
        <w:rPr>
          <w:b/>
          <w:bCs/>
          <w:lang w:val="en-NG"/>
        </w:rPr>
      </w:pPr>
      <w:r w:rsidRPr="00076496">
        <w:rPr>
          <w:b/>
          <w:bCs/>
          <w:lang w:val="en-NG"/>
        </w:rPr>
        <w:t>Increase Internal Transactions to Keep Money Within the Bank</w:t>
      </w:r>
    </w:p>
    <w:p w14:paraId="340BC307" w14:textId="14451F62" w:rsidR="00076496" w:rsidRPr="00076496" w:rsidRDefault="00076496" w:rsidP="00076496">
      <w:pPr>
        <w:numPr>
          <w:ilvl w:val="0"/>
          <w:numId w:val="35"/>
        </w:numPr>
        <w:rPr>
          <w:lang w:val="en-NG"/>
        </w:rPr>
      </w:pPr>
      <w:r w:rsidRPr="00076496">
        <w:rPr>
          <w:lang w:val="en-NG"/>
        </w:rPr>
        <w:t>Introduce incentives for customers to transfer funds between accounts within the bank (e.g., lower fees, faster processing).</w:t>
      </w:r>
      <w:r>
        <w:rPr>
          <w:lang w:val="en-NG"/>
        </w:rPr>
        <w:t xml:space="preserve"> </w:t>
      </w:r>
      <w:r w:rsidRPr="00076496">
        <w:rPr>
          <w:lang w:val="en-NG"/>
        </w:rPr>
        <w:t>Promote internal transactions among businesses by offering corporate packages for payroll and vendor payments.</w:t>
      </w:r>
      <w:r>
        <w:rPr>
          <w:lang w:val="en-NG"/>
        </w:rPr>
        <w:t xml:space="preserve"> </w:t>
      </w:r>
      <w:r w:rsidRPr="00076496">
        <w:rPr>
          <w:lang w:val="en-NG"/>
        </w:rPr>
        <w:t>Launch a multi-account feature that encourages users to manage personal &amp; business funds within the same bank.</w:t>
      </w:r>
    </w:p>
    <w:p w14:paraId="4245C04E" w14:textId="7B978DDE" w:rsidR="00076496" w:rsidRPr="00076496" w:rsidRDefault="00076496" w:rsidP="00076496">
      <w:pPr>
        <w:rPr>
          <w:b/>
          <w:bCs/>
          <w:lang w:val="en-NG"/>
        </w:rPr>
      </w:pPr>
      <w:r w:rsidRPr="00076496">
        <w:rPr>
          <w:b/>
          <w:bCs/>
          <w:lang w:val="en-NG"/>
        </w:rPr>
        <w:t>Boost Inward Transfers by Encouraging Deposits &amp; Remittances</w:t>
      </w:r>
    </w:p>
    <w:p w14:paraId="4DE4B66C" w14:textId="3FA3D789" w:rsidR="00076496" w:rsidRPr="00076496" w:rsidRDefault="00076496" w:rsidP="00076496">
      <w:pPr>
        <w:numPr>
          <w:ilvl w:val="0"/>
          <w:numId w:val="36"/>
        </w:numPr>
        <w:rPr>
          <w:lang w:val="en-NG"/>
        </w:rPr>
      </w:pPr>
      <w:r w:rsidRPr="00076496">
        <w:rPr>
          <w:lang w:val="en-NG"/>
        </w:rPr>
        <w:t>Provide higher interest rates or rewards for deposits to encourage account funding.</w:t>
      </w:r>
      <w:r>
        <w:rPr>
          <w:lang w:val="en-NG"/>
        </w:rPr>
        <w:t xml:space="preserve"> </w:t>
      </w:r>
      <w:r w:rsidRPr="00076496">
        <w:rPr>
          <w:lang w:val="en-NG"/>
        </w:rPr>
        <w:t>Strengthen partnerships with remittance companies to increase international transfers into bank accounts.</w:t>
      </w:r>
      <w:r>
        <w:rPr>
          <w:lang w:val="en-NG"/>
        </w:rPr>
        <w:t xml:space="preserve"> </w:t>
      </w:r>
      <w:r w:rsidRPr="00076496">
        <w:rPr>
          <w:lang w:val="en-NG"/>
        </w:rPr>
        <w:t>Offer instant deposit processing for a seamless transfer experience.</w:t>
      </w:r>
    </w:p>
    <w:p w14:paraId="5A372918" w14:textId="7AC5F10D" w:rsidR="00076496" w:rsidRPr="00076496" w:rsidRDefault="00076496" w:rsidP="00076496">
      <w:pPr>
        <w:rPr>
          <w:b/>
          <w:bCs/>
          <w:lang w:val="en-NG"/>
        </w:rPr>
      </w:pPr>
      <w:r w:rsidRPr="00076496">
        <w:rPr>
          <w:b/>
          <w:bCs/>
          <w:lang w:val="en-NG"/>
        </w:rPr>
        <w:t>Capitalize on Seasonal Trends (Q3 &amp; Q4 Spikes)</w:t>
      </w:r>
    </w:p>
    <w:p w14:paraId="217D4C73" w14:textId="73616F12" w:rsidR="00076496" w:rsidRPr="00076496" w:rsidRDefault="00076496" w:rsidP="00076496">
      <w:pPr>
        <w:numPr>
          <w:ilvl w:val="0"/>
          <w:numId w:val="37"/>
        </w:numPr>
        <w:rPr>
          <w:lang w:val="en-NG"/>
        </w:rPr>
      </w:pPr>
      <w:r w:rsidRPr="00076496">
        <w:rPr>
          <w:lang w:val="en-NG"/>
        </w:rPr>
        <w:t>Use targeted marketing campaigns before Q3 and Q4 to capture increased transaction activity.</w:t>
      </w:r>
      <w:r>
        <w:rPr>
          <w:lang w:val="en-NG"/>
        </w:rPr>
        <w:t xml:space="preserve"> </w:t>
      </w:r>
      <w:r w:rsidRPr="00076496">
        <w:rPr>
          <w:lang w:val="en-NG"/>
        </w:rPr>
        <w:t>Offer holiday season promotions, such as cashback on deposits or fee reductions for money transfers.</w:t>
      </w:r>
      <w:r>
        <w:rPr>
          <w:lang w:val="en-NG"/>
        </w:rPr>
        <w:t xml:space="preserve"> </w:t>
      </w:r>
      <w:r w:rsidRPr="00076496">
        <w:rPr>
          <w:lang w:val="en-NG"/>
        </w:rPr>
        <w:t>Encourage loan or credit card usage in Q4 when spending is highest.</w:t>
      </w:r>
    </w:p>
    <w:p w14:paraId="5EEA912C" w14:textId="6D8C9475" w:rsidR="00076496" w:rsidRPr="00076496" w:rsidRDefault="00076496" w:rsidP="00076496">
      <w:pPr>
        <w:rPr>
          <w:b/>
          <w:bCs/>
          <w:lang w:val="en-NG"/>
        </w:rPr>
      </w:pPr>
      <w:r w:rsidRPr="00076496">
        <w:rPr>
          <w:b/>
          <w:bCs/>
          <w:lang w:val="en-NG"/>
        </w:rPr>
        <w:t>Address Q1 Drop by Offering Retention Strategies</w:t>
      </w:r>
    </w:p>
    <w:p w14:paraId="44AC7BE3" w14:textId="60B7379C" w:rsidR="00076496" w:rsidRPr="00076496" w:rsidRDefault="00076496" w:rsidP="00076496">
      <w:pPr>
        <w:numPr>
          <w:ilvl w:val="0"/>
          <w:numId w:val="38"/>
        </w:numPr>
        <w:rPr>
          <w:lang w:val="en-NG"/>
        </w:rPr>
      </w:pPr>
      <w:r w:rsidRPr="00076496">
        <w:rPr>
          <w:lang w:val="en-NG"/>
        </w:rPr>
        <w:t>Launch January financial planning campaigns to encourage users to continue banking activity.</w:t>
      </w:r>
      <w:r>
        <w:rPr>
          <w:lang w:val="en-NG"/>
        </w:rPr>
        <w:t xml:space="preserve"> </w:t>
      </w:r>
      <w:r w:rsidRPr="00076496">
        <w:rPr>
          <w:lang w:val="en-NG"/>
        </w:rPr>
        <w:t>Offer low-fee transactions for the first quarter to maintain customer engagement.</w:t>
      </w:r>
      <w:r>
        <w:rPr>
          <w:lang w:val="en-NG"/>
        </w:rPr>
        <w:t xml:space="preserve"> </w:t>
      </w:r>
      <w:r w:rsidRPr="00076496">
        <w:rPr>
          <w:lang w:val="en-NG"/>
        </w:rPr>
        <w:t>Provide businesses with tools to automate payroll &amp; supplier payments to sustain transaction flow.</w:t>
      </w:r>
    </w:p>
    <w:p w14:paraId="257067B8" w14:textId="77777777" w:rsidR="00076496" w:rsidRPr="00076496" w:rsidRDefault="00076496" w:rsidP="002B3C73">
      <w:pPr>
        <w:rPr>
          <w:b/>
          <w:bCs/>
        </w:rPr>
      </w:pPr>
    </w:p>
    <w:sectPr w:rsidR="00076496" w:rsidRPr="00076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0E51"/>
    <w:multiLevelType w:val="multilevel"/>
    <w:tmpl w:val="FDC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2BC7"/>
    <w:multiLevelType w:val="multilevel"/>
    <w:tmpl w:val="644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4D20"/>
    <w:multiLevelType w:val="hybridMultilevel"/>
    <w:tmpl w:val="D026D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401A"/>
    <w:multiLevelType w:val="multilevel"/>
    <w:tmpl w:val="E0F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C6D98"/>
    <w:multiLevelType w:val="multilevel"/>
    <w:tmpl w:val="80E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46175"/>
    <w:multiLevelType w:val="multilevel"/>
    <w:tmpl w:val="FFB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01928"/>
    <w:multiLevelType w:val="multilevel"/>
    <w:tmpl w:val="7E8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2140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320D0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47E8F"/>
    <w:multiLevelType w:val="multilevel"/>
    <w:tmpl w:val="1D1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06D18"/>
    <w:multiLevelType w:val="multilevel"/>
    <w:tmpl w:val="EEA2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165F0"/>
    <w:multiLevelType w:val="multilevel"/>
    <w:tmpl w:val="103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431FB"/>
    <w:multiLevelType w:val="multilevel"/>
    <w:tmpl w:val="6A0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E3B75"/>
    <w:multiLevelType w:val="multilevel"/>
    <w:tmpl w:val="689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F53A7"/>
    <w:multiLevelType w:val="multilevel"/>
    <w:tmpl w:val="EF6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64EC1"/>
    <w:multiLevelType w:val="multilevel"/>
    <w:tmpl w:val="001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557B8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76224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27C22"/>
    <w:multiLevelType w:val="multilevel"/>
    <w:tmpl w:val="DD4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63E19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893ECD"/>
    <w:multiLevelType w:val="multilevel"/>
    <w:tmpl w:val="0E5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C0681"/>
    <w:multiLevelType w:val="multilevel"/>
    <w:tmpl w:val="746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9024E"/>
    <w:multiLevelType w:val="multilevel"/>
    <w:tmpl w:val="1B4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C5878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F6D29"/>
    <w:multiLevelType w:val="multilevel"/>
    <w:tmpl w:val="144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509AA"/>
    <w:multiLevelType w:val="multilevel"/>
    <w:tmpl w:val="045E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906C5"/>
    <w:multiLevelType w:val="multilevel"/>
    <w:tmpl w:val="C070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E3149"/>
    <w:multiLevelType w:val="multilevel"/>
    <w:tmpl w:val="0F14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0583A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D3422E"/>
    <w:multiLevelType w:val="multilevel"/>
    <w:tmpl w:val="1E5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30C58"/>
    <w:multiLevelType w:val="multilevel"/>
    <w:tmpl w:val="49E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B7052"/>
    <w:multiLevelType w:val="multilevel"/>
    <w:tmpl w:val="A2A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259C5"/>
    <w:multiLevelType w:val="multilevel"/>
    <w:tmpl w:val="3FD2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2428C"/>
    <w:multiLevelType w:val="multilevel"/>
    <w:tmpl w:val="6CC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E468A"/>
    <w:multiLevelType w:val="hybridMultilevel"/>
    <w:tmpl w:val="D3CE0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A49D7"/>
    <w:multiLevelType w:val="multilevel"/>
    <w:tmpl w:val="E20C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D2E81"/>
    <w:multiLevelType w:val="multilevel"/>
    <w:tmpl w:val="95B6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1614C1"/>
    <w:multiLevelType w:val="multilevel"/>
    <w:tmpl w:val="DD92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341881">
    <w:abstractNumId w:val="36"/>
  </w:num>
  <w:num w:numId="2" w16cid:durableId="1637104599">
    <w:abstractNumId w:val="9"/>
  </w:num>
  <w:num w:numId="3" w16cid:durableId="1752391447">
    <w:abstractNumId w:val="27"/>
  </w:num>
  <w:num w:numId="4" w16cid:durableId="1902906400">
    <w:abstractNumId w:val="10"/>
  </w:num>
  <w:num w:numId="5" w16cid:durableId="1993018255">
    <w:abstractNumId w:val="35"/>
  </w:num>
  <w:num w:numId="6" w16cid:durableId="793711484">
    <w:abstractNumId w:val="14"/>
  </w:num>
  <w:num w:numId="7" w16cid:durableId="1359820386">
    <w:abstractNumId w:val="11"/>
  </w:num>
  <w:num w:numId="8" w16cid:durableId="1904556855">
    <w:abstractNumId w:val="1"/>
  </w:num>
  <w:num w:numId="9" w16cid:durableId="1820073504">
    <w:abstractNumId w:val="34"/>
  </w:num>
  <w:num w:numId="10" w16cid:durableId="1244027870">
    <w:abstractNumId w:val="2"/>
  </w:num>
  <w:num w:numId="11" w16cid:durableId="1780097707">
    <w:abstractNumId w:val="30"/>
  </w:num>
  <w:num w:numId="12" w16cid:durableId="1421096323">
    <w:abstractNumId w:val="7"/>
  </w:num>
  <w:num w:numId="13" w16cid:durableId="729304039">
    <w:abstractNumId w:val="29"/>
  </w:num>
  <w:num w:numId="14" w16cid:durableId="1892107632">
    <w:abstractNumId w:val="6"/>
  </w:num>
  <w:num w:numId="15" w16cid:durableId="2088728765">
    <w:abstractNumId w:val="15"/>
  </w:num>
  <w:num w:numId="16" w16cid:durableId="993412856">
    <w:abstractNumId w:val="3"/>
  </w:num>
  <w:num w:numId="17" w16cid:durableId="1868642762">
    <w:abstractNumId w:val="26"/>
  </w:num>
  <w:num w:numId="18" w16cid:durableId="1115560831">
    <w:abstractNumId w:val="20"/>
  </w:num>
  <w:num w:numId="19" w16cid:durableId="666061298">
    <w:abstractNumId w:val="17"/>
  </w:num>
  <w:num w:numId="20" w16cid:durableId="1005478236">
    <w:abstractNumId w:val="5"/>
  </w:num>
  <w:num w:numId="21" w16cid:durableId="471364337">
    <w:abstractNumId w:val="25"/>
  </w:num>
  <w:num w:numId="22" w16cid:durableId="461270564">
    <w:abstractNumId w:val="33"/>
  </w:num>
  <w:num w:numId="23" w16cid:durableId="1302922541">
    <w:abstractNumId w:val="23"/>
  </w:num>
  <w:num w:numId="24" w16cid:durableId="1937517189">
    <w:abstractNumId w:val="12"/>
  </w:num>
  <w:num w:numId="25" w16cid:durableId="1242446658">
    <w:abstractNumId w:val="32"/>
  </w:num>
  <w:num w:numId="26" w16cid:durableId="795760601">
    <w:abstractNumId w:val="0"/>
  </w:num>
  <w:num w:numId="27" w16cid:durableId="601647179">
    <w:abstractNumId w:val="4"/>
  </w:num>
  <w:num w:numId="28" w16cid:durableId="434861658">
    <w:abstractNumId w:val="24"/>
  </w:num>
  <w:num w:numId="29" w16cid:durableId="616257527">
    <w:abstractNumId w:val="18"/>
  </w:num>
  <w:num w:numId="30" w16cid:durableId="604000664">
    <w:abstractNumId w:val="37"/>
  </w:num>
  <w:num w:numId="31" w16cid:durableId="2049991405">
    <w:abstractNumId w:val="28"/>
  </w:num>
  <w:num w:numId="32" w16cid:durableId="1754008393">
    <w:abstractNumId w:val="16"/>
  </w:num>
  <w:num w:numId="33" w16cid:durableId="517042040">
    <w:abstractNumId w:val="8"/>
  </w:num>
  <w:num w:numId="34" w16cid:durableId="1145201330">
    <w:abstractNumId w:val="19"/>
  </w:num>
  <w:num w:numId="35" w16cid:durableId="1173371838">
    <w:abstractNumId w:val="22"/>
  </w:num>
  <w:num w:numId="36" w16cid:durableId="264507353">
    <w:abstractNumId w:val="13"/>
  </w:num>
  <w:num w:numId="37" w16cid:durableId="259682180">
    <w:abstractNumId w:val="21"/>
  </w:num>
  <w:num w:numId="38" w16cid:durableId="13981615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3"/>
    <w:rsid w:val="00027512"/>
    <w:rsid w:val="00076496"/>
    <w:rsid w:val="00161D0B"/>
    <w:rsid w:val="002B3C73"/>
    <w:rsid w:val="00467471"/>
    <w:rsid w:val="005F1A82"/>
    <w:rsid w:val="006A644D"/>
    <w:rsid w:val="007A48AC"/>
    <w:rsid w:val="00965EB0"/>
    <w:rsid w:val="009A48D4"/>
    <w:rsid w:val="009C2EA3"/>
    <w:rsid w:val="00A257A4"/>
    <w:rsid w:val="00A45834"/>
    <w:rsid w:val="00AA3FF7"/>
    <w:rsid w:val="00B70FBD"/>
    <w:rsid w:val="00C457C2"/>
    <w:rsid w:val="00EA2EE5"/>
    <w:rsid w:val="00FD0EE2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1340"/>
  <w15:chartTrackingRefBased/>
  <w15:docId w15:val="{F9D70C3A-3142-4F2C-9A64-2DEE0F2D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C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73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5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Engineering Team</dc:creator>
  <cp:keywords/>
  <dc:description/>
  <cp:lastModifiedBy>Cloud Engineering Team</cp:lastModifiedBy>
  <cp:revision>4</cp:revision>
  <dcterms:created xsi:type="dcterms:W3CDTF">2025-04-03T18:36:00Z</dcterms:created>
  <dcterms:modified xsi:type="dcterms:W3CDTF">2025-04-03T21:57:00Z</dcterms:modified>
</cp:coreProperties>
</file>