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r>
        <w:t xml:space="preserve"/>
      </w:r>
    </w:p>
    <w:p>
      <w:pPr>
        <w:spacing w:after="80" w:before="0"/>
        <w:jc w:val="center"/>
      </w:pPr>
      <w:r>
        <w:rPr>
          <w:rFonts w:ascii="Arial" w:cs="Arial" w:eastAsia="Arial" w:hAnsi="Arial"/>
          <w:b/>
          <w:bCs/>
          <w:color w:val="1E2761"/>
          <w:sz w:val="64"/>
          <w:szCs w:val="64"/>
        </w:rPr>
        <w:t xml:space="preserve">RETAIL SALES PERFORMANCE</w:t>
      </w:r>
    </w:p>
    <w:p>
      <w:pPr>
        <w:spacing w:after="200" w:before="0"/>
        <w:jc w:val="center"/>
      </w:pPr>
      <w:r>
        <w:rPr>
          <w:rFonts w:ascii="Arial" w:cs="Arial" w:eastAsia="Arial" w:hAnsi="Arial"/>
          <w:b/>
          <w:bCs/>
          <w:color w:val="1565C0"/>
          <w:sz w:val="64"/>
          <w:szCs w:val="64"/>
        </w:rPr>
        <w:t xml:space="preserve">ANALYSIS REPORT</w:t>
      </w:r>
    </w:p>
    <w:p>
      <w:pPr>
        <w:spacing w:after="400" w:before="0"/>
        <w:jc w:val="center"/>
      </w:pPr>
      <w:r>
        <w:rPr>
          <w:rFonts w:ascii="Arial" w:cs="Arial" w:eastAsia="Arial" w:hAnsi="Arial"/>
          <w:i/>
          <w:iCs/>
          <w:color w:val="64748B"/>
          <w:sz w:val="30"/>
          <w:szCs w:val="30"/>
        </w:rPr>
        <w:t xml:space="preserve">Are We Actually Profitable or Just Busy?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565C0" w:sz="4"/>
              <w:left w:val="single" w:color="1565C0" w:sz="4"/>
              <w:bottom w:val="single" w:color="1565C0" w:sz="4"/>
              <w:right w:val="single" w:color="1565C0" w:sz="4"/>
            </w:tcBorders>
            <w:shd w:fill="1E2761" w:val="clear"/>
            <w:tcMar>
              <w:top w:type="dxa" w:w="140"/>
              <w:left w:type="dxa" w:w="160"/>
              <w:bottom w:type="dxa" w:w="140"/>
              <w:right w:type="dxa" w:w="160"/>
            </w:tcMar>
          </w:tcPr>
          <w:p>
            <w:pPr>
              <w:spacing w:after="40" w:before="0"/>
            </w:pPr>
            <w:r>
              <w:rPr>
                <w:rFonts w:ascii="Arial" w:cs="Arial" w:eastAsia="Arial" w:hAnsi="Arial"/>
                <w:b w:val="false"/>
                <w:bCs w:val="false"/>
                <w:color w:val="CADCFC"/>
                <w:sz w:val="18"/>
                <w:szCs w:val="18"/>
              </w:rPr>
              <w:t xml:space="preserve">Total Revenue</w:t>
            </w:r>
          </w:p>
          <w:p>
            <w:pPr>
              <w:spacing w:after="40" w:before="0"/>
            </w:pPr>
            <w:r>
              <w:rPr>
                <w:rFonts w:ascii="Arial" w:cs="Arial" w:eastAsia="Arial" w:hAnsi="Arial"/>
                <w:b/>
                <w:bCs/>
                <w:color w:val="FFFFFF"/>
                <w:sz w:val="32"/>
                <w:szCs w:val="32"/>
              </w:rPr>
              <w:t xml:space="preserve">₦2.14bn</w:t>
            </w:r>
          </w:p>
          <w:p>
            <w:pPr>
              <w:spacing w:after="0" w:before="0"/>
            </w:pPr>
            <w:r>
              <w:rPr>
                <w:rFonts w:ascii="Arial" w:cs="Arial" w:eastAsia="Arial" w:hAnsi="Arial"/>
                <w:color w:val="64748B"/>
                <w:sz w:val="16"/>
                <w:szCs w:val="16"/>
              </w:rPr>
              <w:t xml:space="preserve">Jan 2023 — Dec 2024</w:t>
            </w:r>
          </w:p>
        </w:tc>
        <w:tc>
          <w:tcPr>
            <w:tcW w:type="dxa" w:w="2340"/>
            <w:tcBorders>
              <w:top w:val="single" w:color="1565C0" w:sz="4"/>
              <w:left w:val="single" w:color="1565C0" w:sz="4"/>
              <w:bottom w:val="single" w:color="1565C0" w:sz="4"/>
              <w:right w:val="single" w:color="1565C0" w:sz="4"/>
            </w:tcBorders>
            <w:shd w:fill="1E2761" w:val="clear"/>
            <w:tcMar>
              <w:top w:type="dxa" w:w="140"/>
              <w:left w:type="dxa" w:w="160"/>
              <w:bottom w:type="dxa" w:w="140"/>
              <w:right w:type="dxa" w:w="160"/>
            </w:tcMar>
          </w:tcPr>
          <w:p>
            <w:pPr>
              <w:spacing w:after="40" w:before="0"/>
            </w:pPr>
            <w:r>
              <w:rPr>
                <w:rFonts w:ascii="Arial" w:cs="Arial" w:eastAsia="Arial" w:hAnsi="Arial"/>
                <w:b w:val="false"/>
                <w:bCs w:val="false"/>
                <w:color w:val="CADCFC"/>
                <w:sz w:val="18"/>
                <w:szCs w:val="18"/>
              </w:rPr>
              <w:t xml:space="preserve">Total Profit</w:t>
            </w:r>
          </w:p>
          <w:p>
            <w:pPr>
              <w:spacing w:after="40" w:before="0"/>
            </w:pPr>
            <w:r>
              <w:rPr>
                <w:rFonts w:ascii="Arial" w:cs="Arial" w:eastAsia="Arial" w:hAnsi="Arial"/>
                <w:b/>
                <w:bCs/>
                <w:color w:val="FFFFFF"/>
                <w:sz w:val="32"/>
                <w:szCs w:val="32"/>
              </w:rPr>
              <w:t xml:space="preserve">₦911.38M</w:t>
            </w:r>
          </w:p>
          <w:p>
            <w:pPr>
              <w:spacing w:after="0" w:before="0"/>
            </w:pPr>
            <w:r>
              <w:rPr>
                <w:rFonts w:ascii="Arial" w:cs="Arial" w:eastAsia="Arial" w:hAnsi="Arial"/>
                <w:color w:val="64748B"/>
                <w:sz w:val="16"/>
                <w:szCs w:val="16"/>
              </w:rPr>
              <w:t xml:space="preserve">After all costs</w:t>
            </w:r>
          </w:p>
        </w:tc>
        <w:tc>
          <w:tcPr>
            <w:tcW w:type="dxa" w:w="2340"/>
            <w:tcBorders>
              <w:top w:val="single" w:color="1565C0" w:sz="4"/>
              <w:left w:val="single" w:color="1565C0" w:sz="4"/>
              <w:bottom w:val="single" w:color="1565C0" w:sz="4"/>
              <w:right w:val="single" w:color="1565C0" w:sz="4"/>
            </w:tcBorders>
            <w:shd w:fill="1E2761" w:val="clear"/>
            <w:tcMar>
              <w:top w:type="dxa" w:w="140"/>
              <w:left w:type="dxa" w:w="160"/>
              <w:bottom w:type="dxa" w:w="140"/>
              <w:right w:type="dxa" w:w="160"/>
            </w:tcMar>
          </w:tcPr>
          <w:p>
            <w:pPr>
              <w:spacing w:after="40" w:before="0"/>
            </w:pPr>
            <w:r>
              <w:rPr>
                <w:rFonts w:ascii="Arial" w:cs="Arial" w:eastAsia="Arial" w:hAnsi="Arial"/>
                <w:b w:val="false"/>
                <w:bCs w:val="false"/>
                <w:color w:val="CADCFC"/>
                <w:sz w:val="18"/>
                <w:szCs w:val="18"/>
              </w:rPr>
              <w:t xml:space="preserve">Avg Margin</w:t>
            </w:r>
          </w:p>
          <w:p>
            <w:pPr>
              <w:spacing w:after="40" w:before="0"/>
            </w:pPr>
            <w:r>
              <w:rPr>
                <w:rFonts w:ascii="Arial" w:cs="Arial" w:eastAsia="Arial" w:hAnsi="Arial"/>
                <w:b/>
                <w:bCs/>
                <w:color w:val="FFFFFF"/>
                <w:sz w:val="32"/>
                <w:szCs w:val="32"/>
              </w:rPr>
              <w:t xml:space="preserve">42%</w:t>
            </w:r>
          </w:p>
          <w:p>
            <w:pPr>
              <w:spacing w:after="0" w:before="0"/>
            </w:pPr>
            <w:r>
              <w:rPr>
                <w:rFonts w:ascii="Arial" w:cs="Arial" w:eastAsia="Arial" w:hAnsi="Arial"/>
                <w:color w:val="64748B"/>
                <w:sz w:val="16"/>
                <w:szCs w:val="16"/>
              </w:rPr>
              <w:t xml:space="preserve">All transactions</w:t>
            </w:r>
          </w:p>
        </w:tc>
        <w:tc>
          <w:tcPr>
            <w:tcW w:type="dxa" w:w="2340"/>
            <w:tcBorders>
              <w:top w:val="single" w:color="1565C0" w:sz="4"/>
              <w:left w:val="single" w:color="1565C0" w:sz="4"/>
              <w:bottom w:val="single" w:color="1565C0" w:sz="4"/>
              <w:right w:val="single" w:color="1565C0" w:sz="4"/>
            </w:tcBorders>
            <w:shd w:fill="1E2761" w:val="clear"/>
            <w:tcMar>
              <w:top w:type="dxa" w:w="140"/>
              <w:left w:type="dxa" w:w="160"/>
              <w:bottom w:type="dxa" w:w="140"/>
              <w:right w:type="dxa" w:w="160"/>
            </w:tcMar>
          </w:tcPr>
          <w:p>
            <w:pPr>
              <w:spacing w:after="40" w:before="0"/>
            </w:pPr>
            <w:r>
              <w:rPr>
                <w:rFonts w:ascii="Arial" w:cs="Arial" w:eastAsia="Arial" w:hAnsi="Arial"/>
                <w:b w:val="false"/>
                <w:bCs w:val="false"/>
                <w:color w:val="CADCFC"/>
                <w:sz w:val="18"/>
                <w:szCs w:val="18"/>
              </w:rPr>
              <w:t xml:space="preserve">Units Sold</w:t>
            </w:r>
          </w:p>
          <w:p>
            <w:pPr>
              <w:spacing w:after="40" w:before="0"/>
            </w:pPr>
            <w:r>
              <w:rPr>
                <w:rFonts w:ascii="Arial" w:cs="Arial" w:eastAsia="Arial" w:hAnsi="Arial"/>
                <w:b/>
                <w:bCs/>
                <w:color w:val="FFFFFF"/>
                <w:sz w:val="32"/>
                <w:szCs w:val="32"/>
              </w:rPr>
              <w:t xml:space="preserve">5,547</w:t>
            </w:r>
          </w:p>
          <w:p>
            <w:pPr>
              <w:spacing w:after="0" w:before="0"/>
            </w:pPr>
            <w:r>
              <w:rPr>
                <w:rFonts w:ascii="Arial" w:cs="Arial" w:eastAsia="Arial" w:hAnsi="Arial"/>
                <w:color w:val="64748B"/>
                <w:sz w:val="16"/>
                <w:szCs w:val="16"/>
              </w:rPr>
              <w:t xml:space="preserve">Total quantity</w:t>
            </w:r>
          </w:p>
        </w:tc>
      </w:tr>
    </w:tbl>
    <w:p>
      <w:pPr>
        <w:spacing w:after="0" w:before="300"/>
      </w:pPr>
      <w:r>
        <w:t xml:space="preserve"/>
      </w:r>
    </w:p>
    <w:p>
      <w:pPr>
        <w:spacing w:after="80" w:before="0"/>
        <w:jc w:val="center"/>
      </w:pPr>
      <w:r>
        <w:rPr>
          <w:color w:val="1565C0"/>
          <w:sz w:val="22"/>
          <w:szCs w:val="22"/>
        </w:rPr>
        <w:t xml:space="preserve">─────────────────────────────────────────</w:t>
      </w:r>
    </w:p>
    <w:p>
      <w:pPr>
        <w:spacing w:after="60" w:before="0"/>
        <w:jc w:val="center"/>
      </w:pPr>
      <w:r>
        <w:rPr>
          <w:rFonts w:ascii="Arial" w:cs="Arial" w:eastAsia="Arial" w:hAnsi="Arial"/>
          <w:color w:val="64748B"/>
          <w:sz w:val="22"/>
          <w:szCs w:val="22"/>
        </w:rPr>
        <w:t xml:space="preserve">Prepared by: Data Analytics Team</w:t>
      </w:r>
    </w:p>
    <w:p>
      <w:pPr>
        <w:spacing w:after="60" w:before="0"/>
        <w:jc w:val="center"/>
      </w:pPr>
      <w:r>
        <w:rPr>
          <w:rFonts w:ascii="Arial" w:cs="Arial" w:eastAsia="Arial" w:hAnsi="Arial"/>
          <w:color w:val="64748B"/>
          <w:sz w:val="22"/>
          <w:szCs w:val="22"/>
        </w:rPr>
        <w:t xml:space="preserve">Date: April 2026</w:t>
      </w:r>
    </w:p>
    <w:p>
      <w:pPr>
        <w:spacing w:after="60" w:before="0"/>
        <w:jc w:val="center"/>
      </w:pPr>
      <w:r>
        <w:rPr>
          <w:rFonts w:ascii="Arial" w:cs="Arial" w:eastAsia="Arial" w:hAnsi="Arial"/>
          <w:color w:val="64748B"/>
          <w:sz w:val="22"/>
          <w:szCs w:val="22"/>
        </w:rPr>
        <w:t xml:space="preserve">Dataset: 1,000 Transactions   |   5 Regions   |   5 Product Categories</w:t>
      </w:r>
    </w:p>
    <w:p>
      <w:pPr>
        <w:spacing w:after="0" w:before="0"/>
        <w:jc w:val="center"/>
      </w:pPr>
      <w:r>
        <w:rPr>
          <w:rFonts w:ascii="Arial" w:cs="Arial" w:eastAsia="Arial" w:hAnsi="Arial"/>
          <w:b/>
          <w:bCs/>
          <w:color w:val="DC2626"/>
          <w:sz w:val="22"/>
          <w:szCs w:val="22"/>
        </w:rPr>
        <w:t xml:space="preserve">Classification: Internal — Confidential</w:t>
      </w:r>
    </w:p>
    <w:p>
      <w:r>
        <w:br w:type="page"/>
      </w:r>
    </w:p>
    <w:p>
      <w:pPr>
        <w:pStyle w:val="Heading1"/>
        <w:pBdr>
          <w:bottom w:val="single" w:color="1565C0" w:sz="6"/>
        </w:pBdr>
        <w:spacing w:after="160" w:before="320"/>
      </w:pPr>
      <w:r>
        <w:rPr>
          <w:rFonts w:ascii="Arial" w:cs="Arial" w:eastAsia="Arial" w:hAnsi="Arial"/>
          <w:b/>
          <w:bCs/>
          <w:color w:val="1E2761"/>
          <w:sz w:val="32"/>
          <w:szCs w:val="32"/>
        </w:rPr>
        <w:t xml:space="preserve">1.  Executive Summary</w:t>
      </w:r>
    </w:p>
    <w:p>
      <w:pPr>
        <w:spacing w:after="80" w:before="80"/>
      </w:pPr>
      <w:r>
        <w:rPr>
          <w:rFonts w:ascii="Arial" w:cs="Arial" w:eastAsia="Arial" w:hAnsi="Arial"/>
          <w:color w:val="1A1A2E"/>
          <w:sz w:val="22"/>
          <w:szCs w:val="22"/>
        </w:rPr>
        <w:t xml:space="preserve">This report presents a comprehensive analysis of retail sales performance across five regions in Nigeria, covering 1,000 transactions from January 2023 to December 2024. The analysis was commissioned by the CEO in response to concerns raised by the Finance Director that revenue growth may not be translating proportionally into profit growth.</w:t>
      </w:r>
    </w:p>
    <w:p>
      <w:pPr>
        <w:spacing w:after="0" w:before="100"/>
      </w:pPr>
      <w:r>
        <w:t xml:space="preserve"/>
      </w:r>
    </w:p>
    <w:p>
      <w:pPr>
        <w:spacing w:after="80" w:before="80"/>
      </w:pPr>
      <w:r>
        <w:rPr>
          <w:rFonts w:ascii="Arial" w:cs="Arial" w:eastAsia="Arial" w:hAnsi="Arial"/>
          <w:color w:val="1A1A2E"/>
          <w:sz w:val="22"/>
          <w:szCs w:val="22"/>
        </w:rPr>
        <w:t xml:space="preserve">The key finding is that the business is fundamentally healthy. A 42% average profit margin is sustainable and consistent across all product categories, regions, and discount levels. However, three specific areas require strategic attention: the underperformance of the South region, the low revenue contribution of the Groceries category, and a recurring and unexplained sales dip in November across both years.</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1565C0" w:val="clear"/>
          </w:tcPr>
          <w:p>
            <w:r>
              <w:t xml:space="preserve"/>
            </w:r>
          </w:p>
        </w:tc>
        <w:tc>
          <w:tcPr>
            <w:tcW w:type="dxa" w:w="9200"/>
            <w:tcBorders>
              <w:top w:val="single" w:color="EEEEEE" w:sz="4"/>
              <w:left w:val="none" w:color="FFFFFF" w:sz="0"/>
              <w:bottom w:val="single" w:color="EEEEEE" w:sz="4"/>
              <w:right w:val="none" w:color="FFFFFF" w:sz="0"/>
            </w:tcBorders>
            <w:shd w:fill="F1F5F9" w:val="clear"/>
            <w:tcMar>
              <w:top w:type="dxa" w:w="120"/>
              <w:left w:type="dxa" w:w="160"/>
              <w:bottom w:type="dxa" w:w="120"/>
              <w:right w:type="dxa" w:w="120"/>
            </w:tcMar>
          </w:tcPr>
          <w:p>
            <w:pPr>
              <w:spacing w:after="80" w:before="0"/>
            </w:pPr>
            <w:r>
              <w:rPr>
                <w:rFonts w:ascii="Arial" w:cs="Arial" w:eastAsia="Arial" w:hAnsi="Arial"/>
                <w:b/>
                <w:bCs/>
                <w:color w:val="1565C0"/>
                <w:sz w:val="24"/>
                <w:szCs w:val="24"/>
              </w:rPr>
              <w:t xml:space="preserve">Revenue vs Profit</w:t>
            </w:r>
          </w:p>
          <w:p>
            <w:pPr>
              <w:spacing w:after="0" w:before="0"/>
            </w:pPr>
            <w:r>
              <w:rPr>
                <w:rFonts w:ascii="Arial" w:cs="Arial" w:eastAsia="Arial" w:hAnsi="Arial"/>
                <w:color w:val="1A1A2E"/>
                <w:sz w:val="21"/>
                <w:szCs w:val="21"/>
              </w:rPr>
              <w:t xml:space="preserve">Total revenue of ₦2.14bn was generated across the two-year period. After deducting the total cost base of ₦1.23bn, the business retained ₦911.38M in profit — representing a 42% average profit margin. This is a healthy margin for a multi-category retail operation.</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006978" w:val="clear"/>
          </w:tcPr>
          <w:p>
            <w:r>
              <w:t xml:space="preserve"/>
            </w:r>
          </w:p>
        </w:tc>
        <w:tc>
          <w:tcPr>
            <w:tcW w:type="dxa" w:w="9200"/>
            <w:tcBorders>
              <w:top w:val="single" w:color="EEEEEE" w:sz="4"/>
              <w:left w:val="none" w:color="FFFFFF" w:sz="0"/>
              <w:bottom w:val="single" w:color="EEEEEE" w:sz="4"/>
              <w:right w:val="none" w:color="FFFFFF" w:sz="0"/>
            </w:tcBorders>
            <w:shd w:fill="F1F5F9" w:val="clear"/>
            <w:tcMar>
              <w:top w:type="dxa" w:w="120"/>
              <w:left w:type="dxa" w:w="160"/>
              <w:bottom w:type="dxa" w:w="120"/>
              <w:right w:type="dxa" w:w="120"/>
            </w:tcMar>
          </w:tcPr>
          <w:p>
            <w:pPr>
              <w:spacing w:after="80" w:before="0"/>
            </w:pPr>
            <w:r>
              <w:rPr>
                <w:rFonts w:ascii="Arial" w:cs="Arial" w:eastAsia="Arial" w:hAnsi="Arial"/>
                <w:b/>
                <w:bCs/>
                <w:color w:val="006978"/>
                <w:sz w:val="24"/>
                <w:szCs w:val="24"/>
              </w:rPr>
              <w:t xml:space="preserve">Discounts Are Sustainable</w:t>
            </w:r>
          </w:p>
          <w:p>
            <w:pPr>
              <w:spacing w:after="0" w:before="0"/>
            </w:pPr>
            <w:r>
              <w:rPr>
                <w:rFonts w:ascii="Arial" w:cs="Arial" w:eastAsia="Arial" w:hAnsi="Arial"/>
                <w:color w:val="1A1A2E"/>
                <w:sz w:val="21"/>
                <w:szCs w:val="21"/>
              </w:rPr>
              <w:t xml:space="preserve">Profit margins remain consistent at 41–44% across all discount levels from 0% to 20%. Discounting is not hurting profitability. The current discount policy can be maintained with one minor adjustment recommended for the Sports category specifically.</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D97706" w:val="clear"/>
          </w:tcPr>
          <w:p>
            <w:r>
              <w:t xml:space="preserve"/>
            </w:r>
          </w:p>
        </w:tc>
        <w:tc>
          <w:tcPr>
            <w:tcW w:type="dxa" w:w="9200"/>
            <w:tcBorders>
              <w:top w:val="single" w:color="EEEEEE" w:sz="4"/>
              <w:left w:val="none" w:color="FFFFFF" w:sz="0"/>
              <w:bottom w:val="single" w:color="EEEEEE" w:sz="4"/>
              <w:right w:val="none" w:color="FFFFFF" w:sz="0"/>
            </w:tcBorders>
            <w:shd w:fill="F1F5F9" w:val="clear"/>
            <w:tcMar>
              <w:top w:type="dxa" w:w="120"/>
              <w:left w:type="dxa" w:w="160"/>
              <w:bottom w:type="dxa" w:w="120"/>
              <w:right w:type="dxa" w:w="120"/>
            </w:tcMar>
          </w:tcPr>
          <w:p>
            <w:pPr>
              <w:spacing w:after="80" w:before="0"/>
            </w:pPr>
            <w:r>
              <w:rPr>
                <w:rFonts w:ascii="Arial" w:cs="Arial" w:eastAsia="Arial" w:hAnsi="Arial"/>
                <w:b/>
                <w:bCs/>
                <w:color w:val="D97706"/>
                <w:sz w:val="24"/>
                <w:szCs w:val="24"/>
              </w:rPr>
              <w:t xml:space="preserve">Regional Imbalance Exists</w:t>
            </w:r>
          </w:p>
          <w:p>
            <w:pPr>
              <w:spacing w:after="0" w:before="0"/>
            </w:pPr>
            <w:r>
              <w:rPr>
                <w:rFonts w:ascii="Arial" w:cs="Arial" w:eastAsia="Arial" w:hAnsi="Arial"/>
                <w:color w:val="1A1A2E"/>
                <w:sz w:val="21"/>
                <w:szCs w:val="21"/>
              </w:rPr>
              <w:t xml:space="preserve">The West region leads all five regions in sales and profit, driven primarily by Lagos. The South region significantly underperforms despite being a major commercial area. A targeted regional strategy is recommended.</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10B981" w:val="clear"/>
          </w:tcPr>
          <w:p>
            <w:r>
              <w:t xml:space="preserve"/>
            </w:r>
          </w:p>
        </w:tc>
        <w:tc>
          <w:tcPr>
            <w:tcW w:type="dxa" w:w="9200"/>
            <w:tcBorders>
              <w:top w:val="single" w:color="EEEEEE" w:sz="4"/>
              <w:left w:val="none" w:color="FFFFFF" w:sz="0"/>
              <w:bottom w:val="single" w:color="EEEEEE" w:sz="4"/>
              <w:right w:val="none" w:color="FFFFFF" w:sz="0"/>
            </w:tcBorders>
            <w:shd w:fill="F1F5F9" w:val="clear"/>
            <w:tcMar>
              <w:top w:type="dxa" w:w="120"/>
              <w:left w:type="dxa" w:w="160"/>
              <w:bottom w:type="dxa" w:w="120"/>
              <w:right w:type="dxa" w:w="120"/>
            </w:tcMar>
          </w:tcPr>
          <w:p>
            <w:pPr>
              <w:spacing w:after="80" w:before="0"/>
            </w:pPr>
            <w:r>
              <w:rPr>
                <w:rFonts w:ascii="Arial" w:cs="Arial" w:eastAsia="Arial" w:hAnsi="Arial"/>
                <w:b/>
                <w:bCs/>
                <w:color w:val="10B981"/>
                <w:sz w:val="24"/>
                <w:szCs w:val="24"/>
              </w:rPr>
              <w:t xml:space="preserve">Channels Are Balanced</w:t>
            </w:r>
          </w:p>
          <w:p>
            <w:pPr>
              <w:spacing w:after="0" w:before="0"/>
            </w:pPr>
            <w:r>
              <w:rPr>
                <w:rFonts w:ascii="Arial" w:cs="Arial" w:eastAsia="Arial" w:hAnsi="Arial"/>
                <w:color w:val="1A1A2E"/>
                <w:sz w:val="21"/>
                <w:szCs w:val="21"/>
              </w:rPr>
              <w:t xml:space="preserve">All three sales channels — In-Store (34.78%), Online (33.88%), and Mobile App (31.34%) — perform within 3.5% of each other. This is a remarkably balanced channel mix that indicates healthy diversification across customer touchpoints.</w:t>
            </w:r>
          </w:p>
        </w:tc>
      </w:tr>
    </w:tbl>
    <w:p>
      <w:r>
        <w:br w:type="page"/>
      </w:r>
    </w:p>
    <w:p>
      <w:pPr>
        <w:pStyle w:val="Heading1"/>
        <w:pBdr>
          <w:bottom w:val="single" w:color="1565C0" w:sz="6"/>
        </w:pBdr>
        <w:spacing w:after="160" w:before="320"/>
      </w:pPr>
      <w:r>
        <w:rPr>
          <w:rFonts w:ascii="Arial" w:cs="Arial" w:eastAsia="Arial" w:hAnsi="Arial"/>
          <w:b/>
          <w:bCs/>
          <w:color w:val="1E2761"/>
          <w:sz w:val="32"/>
          <w:szCs w:val="32"/>
        </w:rPr>
        <w:t xml:space="preserve">2.  Data Overview</w:t>
      </w:r>
    </w:p>
    <w:p>
      <w:pPr>
        <w:spacing w:after="80" w:before="80"/>
      </w:pPr>
      <w:r>
        <w:rPr>
          <w:rFonts w:ascii="Arial" w:cs="Arial" w:eastAsia="Arial" w:hAnsi="Arial"/>
          <w:color w:val="1A1A2E"/>
          <w:sz w:val="22"/>
          <w:szCs w:val="22"/>
        </w:rPr>
        <w:t xml:space="preserve">The analysis is based on a structured retail sales dataset containing 1,000 transaction records spanning a full two-year period from January 2023 to December 2024. The dataset was loaded into Power BI for interactive analysis and visualisation.</w:t>
      </w:r>
    </w:p>
    <w:p>
      <w:pPr>
        <w:spacing w:after="0" w:before="80"/>
      </w:pPr>
      <w:r>
        <w:t xml:space="preserve"/>
      </w:r>
    </w:p>
    <w:p>
      <w:pPr>
        <w:pStyle w:val="Heading2"/>
        <w:spacing w:after="100" w:before="240"/>
      </w:pPr>
      <w:r>
        <w:rPr>
          <w:rFonts w:ascii="Arial" w:cs="Arial" w:eastAsia="Arial" w:hAnsi="Arial"/>
          <w:b/>
          <w:bCs/>
          <w:color w:val="1565C0"/>
          <w:sz w:val="26"/>
          <w:szCs w:val="26"/>
        </w:rPr>
        <w:t xml:space="preserve">2.1  Dataset Structure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3650"/>
        <w:gridCol w:w="3650"/>
      </w:tblGrid>
      <w:tr>
        <w:trPr>
          <w:tblHeader/>
        </w:trPr>
        <w:tc>
          <w:tcPr>
            <w:tcW w:type="dxa" w:w="2059"/>
            <w:tcBorders>
              <w:top w:val="single" w:color="1E2761" w:sz="4"/>
              <w:left w:val="single" w:color="1E2761" w:sz="4"/>
              <w:bottom w:val="single" w:color="1E2761" w:sz="4"/>
              <w:right w:val="single" w:color="1E2761" w:sz="4"/>
            </w:tcBorders>
            <w:shd w:fill="1E2761"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Column</w:t>
            </w:r>
          </w:p>
        </w:tc>
        <w:tc>
          <w:tcPr>
            <w:tcW w:type="dxa" w:w="3650"/>
            <w:tcBorders>
              <w:top w:val="single" w:color="1E2761" w:sz="4"/>
              <w:left w:val="single" w:color="1E2761" w:sz="4"/>
              <w:bottom w:val="single" w:color="1E2761" w:sz="4"/>
              <w:right w:val="single" w:color="1E2761" w:sz="4"/>
            </w:tcBorders>
            <w:shd w:fill="1E2761"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Data Type</w:t>
            </w:r>
          </w:p>
        </w:tc>
        <w:tc>
          <w:tcPr>
            <w:tcW w:type="dxa" w:w="3650"/>
            <w:tcBorders>
              <w:top w:val="single" w:color="1E2761" w:sz="4"/>
              <w:left w:val="single" w:color="1E2761" w:sz="4"/>
              <w:bottom w:val="single" w:color="1E2761" w:sz="4"/>
              <w:right w:val="single" w:color="1E2761" w:sz="4"/>
            </w:tcBorders>
            <w:shd w:fill="1E2761"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Description</w:t>
            </w:r>
          </w:p>
        </w:tc>
      </w:tr>
      <w:tr>
        <w:tc>
          <w:tcPr>
            <w:tcW w:type="dxa" w:w="2059"/>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bCs/>
                <w:color w:val="1A1A2E"/>
                <w:sz w:val="20"/>
                <w:szCs w:val="20"/>
              </w:rPr>
              <w:t xml:space="preserve">Order_ID</w:t>
            </w:r>
          </w:p>
        </w:tc>
        <w:tc>
          <w:tcPr>
            <w:tcW w:type="dxa" w:w="365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Text</w:t>
            </w:r>
          </w:p>
        </w:tc>
        <w:tc>
          <w:tcPr>
            <w:tcW w:type="dxa" w:w="365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Unique identifier for each transaction</w:t>
            </w:r>
          </w:p>
        </w:tc>
      </w:tr>
      <w:tr>
        <w:tc>
          <w:tcPr>
            <w:tcW w:type="dxa" w:w="2059"/>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bCs/>
                <w:color w:val="1A1A2E"/>
                <w:sz w:val="20"/>
                <w:szCs w:val="20"/>
              </w:rPr>
              <w:t xml:space="preserve">Date</w:t>
            </w:r>
          </w:p>
        </w:tc>
        <w:tc>
          <w:tcPr>
            <w:tcW w:type="dxa" w:w="365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Date</w:t>
            </w:r>
          </w:p>
        </w:tc>
        <w:tc>
          <w:tcPr>
            <w:tcW w:type="dxa" w:w="365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Transaction date — range Jan 2023 to Dec 2024</w:t>
            </w:r>
          </w:p>
        </w:tc>
      </w:tr>
      <w:tr>
        <w:tc>
          <w:tcPr>
            <w:tcW w:type="dxa" w:w="2059"/>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bCs/>
                <w:color w:val="1A1A2E"/>
                <w:sz w:val="20"/>
                <w:szCs w:val="20"/>
              </w:rPr>
              <w:t xml:space="preserve">Category</w:t>
            </w:r>
          </w:p>
        </w:tc>
        <w:tc>
          <w:tcPr>
            <w:tcW w:type="dxa" w:w="365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Text</w:t>
            </w:r>
          </w:p>
        </w:tc>
        <w:tc>
          <w:tcPr>
            <w:tcW w:type="dxa" w:w="365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5 product categories — Electronics, Clothing, etc.</w:t>
            </w:r>
          </w:p>
        </w:tc>
      </w:tr>
      <w:tr>
        <w:tc>
          <w:tcPr>
            <w:tcW w:type="dxa" w:w="2059"/>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bCs/>
                <w:color w:val="1A1A2E"/>
                <w:sz w:val="20"/>
                <w:szCs w:val="20"/>
              </w:rPr>
              <w:t xml:space="preserve">Product</w:t>
            </w:r>
          </w:p>
        </w:tc>
        <w:tc>
          <w:tcPr>
            <w:tcW w:type="dxa" w:w="365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Text</w:t>
            </w:r>
          </w:p>
        </w:tc>
        <w:tc>
          <w:tcPr>
            <w:tcW w:type="dxa" w:w="365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35 individual products across all categories</w:t>
            </w:r>
          </w:p>
        </w:tc>
      </w:tr>
      <w:tr>
        <w:tc>
          <w:tcPr>
            <w:tcW w:type="dxa" w:w="2059"/>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bCs/>
                <w:color w:val="1A1A2E"/>
                <w:sz w:val="20"/>
                <w:szCs w:val="20"/>
              </w:rPr>
              <w:t xml:space="preserve">Region</w:t>
            </w:r>
          </w:p>
        </w:tc>
        <w:tc>
          <w:tcPr>
            <w:tcW w:type="dxa" w:w="365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Text</w:t>
            </w:r>
          </w:p>
        </w:tc>
        <w:tc>
          <w:tcPr>
            <w:tcW w:type="dxa" w:w="365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5 regions — North, South, East, West, Central</w:t>
            </w:r>
          </w:p>
        </w:tc>
      </w:tr>
      <w:tr>
        <w:tc>
          <w:tcPr>
            <w:tcW w:type="dxa" w:w="2059"/>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bCs/>
                <w:color w:val="1A1A2E"/>
                <w:sz w:val="20"/>
                <w:szCs w:val="20"/>
              </w:rPr>
              <w:t xml:space="preserve">City</w:t>
            </w:r>
          </w:p>
        </w:tc>
        <w:tc>
          <w:tcPr>
            <w:tcW w:type="dxa" w:w="365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Text</w:t>
            </w:r>
          </w:p>
        </w:tc>
        <w:tc>
          <w:tcPr>
            <w:tcW w:type="dxa" w:w="365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15 cities across the 5 regions</w:t>
            </w:r>
          </w:p>
        </w:tc>
      </w:tr>
      <w:tr>
        <w:tc>
          <w:tcPr>
            <w:tcW w:type="dxa" w:w="2059"/>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bCs/>
                <w:color w:val="1A1A2E"/>
                <w:sz w:val="20"/>
                <w:szCs w:val="20"/>
              </w:rPr>
              <w:t xml:space="preserve">Quantity</w:t>
            </w:r>
          </w:p>
        </w:tc>
        <w:tc>
          <w:tcPr>
            <w:tcW w:type="dxa" w:w="365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Number</w:t>
            </w:r>
          </w:p>
        </w:tc>
        <w:tc>
          <w:tcPr>
            <w:tcW w:type="dxa" w:w="365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Units sold per transaction</w:t>
            </w:r>
          </w:p>
        </w:tc>
      </w:tr>
      <w:tr>
        <w:tc>
          <w:tcPr>
            <w:tcW w:type="dxa" w:w="2059"/>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bCs/>
                <w:color w:val="1A1A2E"/>
                <w:sz w:val="20"/>
                <w:szCs w:val="20"/>
              </w:rPr>
              <w:t xml:space="preserve">Unit_Price_NGN</w:t>
            </w:r>
          </w:p>
        </w:tc>
        <w:tc>
          <w:tcPr>
            <w:tcW w:type="dxa" w:w="365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Currency</w:t>
            </w:r>
          </w:p>
        </w:tc>
        <w:tc>
          <w:tcPr>
            <w:tcW w:type="dxa" w:w="365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Standard price per unit in Naira</w:t>
            </w:r>
          </w:p>
        </w:tc>
      </w:tr>
      <w:tr>
        <w:tc>
          <w:tcPr>
            <w:tcW w:type="dxa" w:w="2059"/>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bCs/>
                <w:color w:val="1A1A2E"/>
                <w:sz w:val="20"/>
                <w:szCs w:val="20"/>
              </w:rPr>
              <w:t xml:space="preserve">Discount_%</w:t>
            </w:r>
          </w:p>
        </w:tc>
        <w:tc>
          <w:tcPr>
            <w:tcW w:type="dxa" w:w="365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Number</w:t>
            </w:r>
          </w:p>
        </w:tc>
        <w:tc>
          <w:tcPr>
            <w:tcW w:type="dxa" w:w="365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Discount applied — 0%, 5%, 10%, 15%, or 20%</w:t>
            </w:r>
          </w:p>
        </w:tc>
      </w:tr>
      <w:tr>
        <w:tc>
          <w:tcPr>
            <w:tcW w:type="dxa" w:w="2059"/>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bCs/>
                <w:color w:val="1A1A2E"/>
                <w:sz w:val="20"/>
                <w:szCs w:val="20"/>
              </w:rPr>
              <w:t xml:space="preserve">Total_Sales_NGN</w:t>
            </w:r>
          </w:p>
        </w:tc>
        <w:tc>
          <w:tcPr>
            <w:tcW w:type="dxa" w:w="365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Currency</w:t>
            </w:r>
          </w:p>
        </w:tc>
        <w:tc>
          <w:tcPr>
            <w:tcW w:type="dxa" w:w="365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Gross revenue after discount applied</w:t>
            </w:r>
          </w:p>
        </w:tc>
      </w:tr>
      <w:tr>
        <w:tc>
          <w:tcPr>
            <w:tcW w:type="dxa" w:w="2059"/>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bCs/>
                <w:color w:val="1A1A2E"/>
                <w:sz w:val="20"/>
                <w:szCs w:val="20"/>
              </w:rPr>
              <w:t xml:space="preserve">COGS_NGN</w:t>
            </w:r>
          </w:p>
        </w:tc>
        <w:tc>
          <w:tcPr>
            <w:tcW w:type="dxa" w:w="365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Currency</w:t>
            </w:r>
          </w:p>
        </w:tc>
        <w:tc>
          <w:tcPr>
            <w:tcW w:type="dxa" w:w="365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Cost of goods sold per transaction</w:t>
            </w:r>
          </w:p>
        </w:tc>
      </w:tr>
      <w:tr>
        <w:tc>
          <w:tcPr>
            <w:tcW w:type="dxa" w:w="2059"/>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bCs/>
                <w:color w:val="1A1A2E"/>
                <w:sz w:val="20"/>
                <w:szCs w:val="20"/>
              </w:rPr>
              <w:t xml:space="preserve">Profit_NGN</w:t>
            </w:r>
          </w:p>
        </w:tc>
        <w:tc>
          <w:tcPr>
            <w:tcW w:type="dxa" w:w="365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Currency</w:t>
            </w:r>
          </w:p>
        </w:tc>
        <w:tc>
          <w:tcPr>
            <w:tcW w:type="dxa" w:w="365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Profit = Total Sales minus COGS</w:t>
            </w:r>
          </w:p>
        </w:tc>
      </w:tr>
      <w:tr>
        <w:tc>
          <w:tcPr>
            <w:tcW w:type="dxa" w:w="2059"/>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bCs/>
                <w:color w:val="1A1A2E"/>
                <w:sz w:val="20"/>
                <w:szCs w:val="20"/>
              </w:rPr>
              <w:t xml:space="preserve">Profit_Margin_%</w:t>
            </w:r>
          </w:p>
        </w:tc>
        <w:tc>
          <w:tcPr>
            <w:tcW w:type="dxa" w:w="365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Number</w:t>
            </w:r>
          </w:p>
        </w:tc>
        <w:tc>
          <w:tcPr>
            <w:tcW w:type="dxa" w:w="365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Profit as a percentage of Total Sales</w:t>
            </w:r>
          </w:p>
        </w:tc>
      </w:tr>
      <w:tr>
        <w:tc>
          <w:tcPr>
            <w:tcW w:type="dxa" w:w="2059"/>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bCs/>
                <w:color w:val="1A1A2E"/>
                <w:sz w:val="20"/>
                <w:szCs w:val="20"/>
              </w:rPr>
              <w:t xml:space="preserve">Payment_Method</w:t>
            </w:r>
          </w:p>
        </w:tc>
        <w:tc>
          <w:tcPr>
            <w:tcW w:type="dxa" w:w="365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Text</w:t>
            </w:r>
          </w:p>
        </w:tc>
        <w:tc>
          <w:tcPr>
            <w:tcW w:type="dxa" w:w="365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Cash, Card, POS, or Transfer</w:t>
            </w:r>
          </w:p>
        </w:tc>
      </w:tr>
      <w:tr>
        <w:tc>
          <w:tcPr>
            <w:tcW w:type="dxa" w:w="2059"/>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bCs/>
                <w:color w:val="1A1A2E"/>
                <w:sz w:val="20"/>
                <w:szCs w:val="20"/>
              </w:rPr>
              <w:t xml:space="preserve">Sales_Channel</w:t>
            </w:r>
          </w:p>
        </w:tc>
        <w:tc>
          <w:tcPr>
            <w:tcW w:type="dxa" w:w="365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Text</w:t>
            </w:r>
          </w:p>
        </w:tc>
        <w:tc>
          <w:tcPr>
            <w:tcW w:type="dxa" w:w="365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In-Store, Online, or Mobile App</w:t>
            </w:r>
          </w:p>
        </w:tc>
      </w:tr>
    </w:tbl>
    <w:p>
      <w:pPr>
        <w:spacing w:after="0" w:before="140"/>
      </w:pPr>
      <w:r>
        <w:t xml:space="preserve"/>
      </w:r>
    </w:p>
    <w:p>
      <w:pPr>
        <w:pStyle w:val="Heading2"/>
        <w:spacing w:after="100" w:before="240"/>
      </w:pPr>
      <w:r>
        <w:rPr>
          <w:rFonts w:ascii="Arial" w:cs="Arial" w:eastAsia="Arial" w:hAnsi="Arial"/>
          <w:b/>
          <w:bCs/>
          <w:color w:val="1565C0"/>
          <w:sz w:val="26"/>
          <w:szCs w:val="26"/>
        </w:rPr>
        <w:t xml:space="preserve">2.2  Key Metrics Summary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1565C0" w:sz="4"/>
              <w:left w:val="single" w:color="1565C0" w:sz="4"/>
              <w:bottom w:val="single" w:color="1565C0" w:sz="4"/>
              <w:right w:val="single" w:color="1565C0" w:sz="4"/>
            </w:tcBorders>
            <w:shd w:fill="1E2761" w:val="clear"/>
            <w:tcMar>
              <w:top w:type="dxa" w:w="140"/>
              <w:left w:type="dxa" w:w="160"/>
              <w:bottom w:type="dxa" w:w="140"/>
              <w:right w:type="dxa" w:w="160"/>
            </w:tcMar>
          </w:tcPr>
          <w:p>
            <w:pPr>
              <w:spacing w:after="40" w:before="0"/>
            </w:pPr>
            <w:r>
              <w:rPr>
                <w:rFonts w:ascii="Arial" w:cs="Arial" w:eastAsia="Arial" w:hAnsi="Arial"/>
                <w:b w:val="false"/>
                <w:bCs w:val="false"/>
                <w:color w:val="CADCFC"/>
                <w:sz w:val="18"/>
                <w:szCs w:val="18"/>
              </w:rPr>
              <w:t xml:space="preserve">Total Revenue</w:t>
            </w:r>
          </w:p>
          <w:p>
            <w:pPr>
              <w:spacing w:after="40" w:before="0"/>
            </w:pPr>
            <w:r>
              <w:rPr>
                <w:rFonts w:ascii="Arial" w:cs="Arial" w:eastAsia="Arial" w:hAnsi="Arial"/>
                <w:b/>
                <w:bCs/>
                <w:color w:val="FFFFFF"/>
                <w:sz w:val="32"/>
                <w:szCs w:val="32"/>
              </w:rPr>
              <w:t xml:space="preserve">₦2.14bn</w:t>
            </w:r>
          </w:p>
          <w:p>
            <w:pPr>
              <w:spacing w:after="0" w:before="0"/>
            </w:pPr>
            <w:r>
              <w:rPr>
                <w:rFonts w:ascii="Arial" w:cs="Arial" w:eastAsia="Arial" w:hAnsi="Arial"/>
                <w:color w:val="64748B"/>
                <w:sz w:val="16"/>
                <w:szCs w:val="16"/>
              </w:rPr>
              <w:t xml:space="preserve"/>
            </w:r>
          </w:p>
        </w:tc>
        <w:tc>
          <w:tcPr>
            <w:tcW w:type="dxa" w:w="1872"/>
            <w:tcBorders>
              <w:top w:val="single" w:color="1565C0" w:sz="4"/>
              <w:left w:val="single" w:color="1565C0" w:sz="4"/>
              <w:bottom w:val="single" w:color="1565C0" w:sz="4"/>
              <w:right w:val="single" w:color="1565C0" w:sz="4"/>
            </w:tcBorders>
            <w:shd w:fill="1E2761" w:val="clear"/>
            <w:tcMar>
              <w:top w:type="dxa" w:w="140"/>
              <w:left w:type="dxa" w:w="160"/>
              <w:bottom w:type="dxa" w:w="140"/>
              <w:right w:type="dxa" w:w="160"/>
            </w:tcMar>
          </w:tcPr>
          <w:p>
            <w:pPr>
              <w:spacing w:after="40" w:before="0"/>
            </w:pPr>
            <w:r>
              <w:rPr>
                <w:rFonts w:ascii="Arial" w:cs="Arial" w:eastAsia="Arial" w:hAnsi="Arial"/>
                <w:b w:val="false"/>
                <w:bCs w:val="false"/>
                <w:color w:val="CADCFC"/>
                <w:sz w:val="18"/>
                <w:szCs w:val="18"/>
              </w:rPr>
              <w:t xml:space="preserve">Total Profit</w:t>
            </w:r>
          </w:p>
          <w:p>
            <w:pPr>
              <w:spacing w:after="40" w:before="0"/>
            </w:pPr>
            <w:r>
              <w:rPr>
                <w:rFonts w:ascii="Arial" w:cs="Arial" w:eastAsia="Arial" w:hAnsi="Arial"/>
                <w:b/>
                <w:bCs/>
                <w:color w:val="FFFFFF"/>
                <w:sz w:val="32"/>
                <w:szCs w:val="32"/>
              </w:rPr>
              <w:t xml:space="preserve">₦911.38M</w:t>
            </w:r>
          </w:p>
          <w:p>
            <w:pPr>
              <w:spacing w:after="0" w:before="0"/>
            </w:pPr>
            <w:r>
              <w:rPr>
                <w:rFonts w:ascii="Arial" w:cs="Arial" w:eastAsia="Arial" w:hAnsi="Arial"/>
                <w:color w:val="64748B"/>
                <w:sz w:val="16"/>
                <w:szCs w:val="16"/>
              </w:rPr>
              <w:t xml:space="preserve"/>
            </w:r>
          </w:p>
        </w:tc>
        <w:tc>
          <w:tcPr>
            <w:tcW w:type="dxa" w:w="1872"/>
            <w:tcBorders>
              <w:top w:val="single" w:color="1565C0" w:sz="4"/>
              <w:left w:val="single" w:color="1565C0" w:sz="4"/>
              <w:bottom w:val="single" w:color="1565C0" w:sz="4"/>
              <w:right w:val="single" w:color="1565C0" w:sz="4"/>
            </w:tcBorders>
            <w:shd w:fill="1E2761" w:val="clear"/>
            <w:tcMar>
              <w:top w:type="dxa" w:w="140"/>
              <w:left w:type="dxa" w:w="160"/>
              <w:bottom w:type="dxa" w:w="140"/>
              <w:right w:type="dxa" w:w="160"/>
            </w:tcMar>
          </w:tcPr>
          <w:p>
            <w:pPr>
              <w:spacing w:after="40" w:before="0"/>
            </w:pPr>
            <w:r>
              <w:rPr>
                <w:rFonts w:ascii="Arial" w:cs="Arial" w:eastAsia="Arial" w:hAnsi="Arial"/>
                <w:b w:val="false"/>
                <w:bCs w:val="false"/>
                <w:color w:val="CADCFC"/>
                <w:sz w:val="18"/>
                <w:szCs w:val="18"/>
              </w:rPr>
              <w:t xml:space="preserve">Total Cost</w:t>
            </w:r>
          </w:p>
          <w:p>
            <w:pPr>
              <w:spacing w:after="40" w:before="0"/>
            </w:pPr>
            <w:r>
              <w:rPr>
                <w:rFonts w:ascii="Arial" w:cs="Arial" w:eastAsia="Arial" w:hAnsi="Arial"/>
                <w:b/>
                <w:bCs/>
                <w:color w:val="FFFFFF"/>
                <w:sz w:val="32"/>
                <w:szCs w:val="32"/>
              </w:rPr>
              <w:t xml:space="preserve">₦1.23bn</w:t>
            </w:r>
          </w:p>
          <w:p>
            <w:pPr>
              <w:spacing w:after="0" w:before="0"/>
            </w:pPr>
            <w:r>
              <w:rPr>
                <w:rFonts w:ascii="Arial" w:cs="Arial" w:eastAsia="Arial" w:hAnsi="Arial"/>
                <w:color w:val="64748B"/>
                <w:sz w:val="16"/>
                <w:szCs w:val="16"/>
              </w:rPr>
              <w:t xml:space="preserve"/>
            </w:r>
          </w:p>
        </w:tc>
        <w:tc>
          <w:tcPr>
            <w:tcW w:type="dxa" w:w="1872"/>
            <w:tcBorders>
              <w:top w:val="single" w:color="1565C0" w:sz="4"/>
              <w:left w:val="single" w:color="1565C0" w:sz="4"/>
              <w:bottom w:val="single" w:color="1565C0" w:sz="4"/>
              <w:right w:val="single" w:color="1565C0" w:sz="4"/>
            </w:tcBorders>
            <w:shd w:fill="1E2761" w:val="clear"/>
            <w:tcMar>
              <w:top w:type="dxa" w:w="140"/>
              <w:left w:type="dxa" w:w="160"/>
              <w:bottom w:type="dxa" w:w="140"/>
              <w:right w:type="dxa" w:w="160"/>
            </w:tcMar>
          </w:tcPr>
          <w:p>
            <w:pPr>
              <w:spacing w:after="40" w:before="0"/>
            </w:pPr>
            <w:r>
              <w:rPr>
                <w:rFonts w:ascii="Arial" w:cs="Arial" w:eastAsia="Arial" w:hAnsi="Arial"/>
                <w:b w:val="false"/>
                <w:bCs w:val="false"/>
                <w:color w:val="CADCFC"/>
                <w:sz w:val="18"/>
                <w:szCs w:val="18"/>
              </w:rPr>
              <w:t xml:space="preserve">Avg Margin</w:t>
            </w:r>
          </w:p>
          <w:p>
            <w:pPr>
              <w:spacing w:after="40" w:before="0"/>
            </w:pPr>
            <w:r>
              <w:rPr>
                <w:rFonts w:ascii="Arial" w:cs="Arial" w:eastAsia="Arial" w:hAnsi="Arial"/>
                <w:b/>
                <w:bCs/>
                <w:color w:val="FFFFFF"/>
                <w:sz w:val="32"/>
                <w:szCs w:val="32"/>
              </w:rPr>
              <w:t xml:space="preserve">42%</w:t>
            </w:r>
          </w:p>
          <w:p>
            <w:pPr>
              <w:spacing w:after="0" w:before="0"/>
            </w:pPr>
            <w:r>
              <w:rPr>
                <w:rFonts w:ascii="Arial" w:cs="Arial" w:eastAsia="Arial" w:hAnsi="Arial"/>
                <w:color w:val="64748B"/>
                <w:sz w:val="16"/>
                <w:szCs w:val="16"/>
              </w:rPr>
              <w:t xml:space="preserve"/>
            </w:r>
          </w:p>
        </w:tc>
        <w:tc>
          <w:tcPr>
            <w:tcW w:type="dxa" w:w="1872"/>
            <w:tcBorders>
              <w:top w:val="single" w:color="1565C0" w:sz="4"/>
              <w:left w:val="single" w:color="1565C0" w:sz="4"/>
              <w:bottom w:val="single" w:color="1565C0" w:sz="4"/>
              <w:right w:val="single" w:color="1565C0" w:sz="4"/>
            </w:tcBorders>
            <w:shd w:fill="1E2761" w:val="clear"/>
            <w:tcMar>
              <w:top w:type="dxa" w:w="140"/>
              <w:left w:type="dxa" w:w="160"/>
              <w:bottom w:type="dxa" w:w="140"/>
              <w:right w:type="dxa" w:w="160"/>
            </w:tcMar>
          </w:tcPr>
          <w:p>
            <w:pPr>
              <w:spacing w:after="40" w:before="0"/>
            </w:pPr>
            <w:r>
              <w:rPr>
                <w:rFonts w:ascii="Arial" w:cs="Arial" w:eastAsia="Arial" w:hAnsi="Arial"/>
                <w:b w:val="false"/>
                <w:bCs w:val="false"/>
                <w:color w:val="CADCFC"/>
                <w:sz w:val="18"/>
                <w:szCs w:val="18"/>
              </w:rPr>
              <w:t xml:space="preserve">Units Sold</w:t>
            </w:r>
          </w:p>
          <w:p>
            <w:pPr>
              <w:spacing w:after="40" w:before="0"/>
            </w:pPr>
            <w:r>
              <w:rPr>
                <w:rFonts w:ascii="Arial" w:cs="Arial" w:eastAsia="Arial" w:hAnsi="Arial"/>
                <w:b/>
                <w:bCs/>
                <w:color w:val="FFFFFF"/>
                <w:sz w:val="32"/>
                <w:szCs w:val="32"/>
              </w:rPr>
              <w:t xml:space="preserve">5,547</w:t>
            </w:r>
          </w:p>
          <w:p>
            <w:pPr>
              <w:spacing w:after="0" w:before="0"/>
            </w:pPr>
            <w:r>
              <w:rPr>
                <w:rFonts w:ascii="Arial" w:cs="Arial" w:eastAsia="Arial" w:hAnsi="Arial"/>
                <w:color w:val="64748B"/>
                <w:sz w:val="16"/>
                <w:szCs w:val="16"/>
              </w:rPr>
              <w:t xml:space="preserve"/>
            </w:r>
          </w:p>
        </w:tc>
      </w:tr>
    </w:tbl>
    <w:p>
      <w:r>
        <w:br w:type="page"/>
      </w:r>
    </w:p>
    <w:p>
      <w:pPr>
        <w:pStyle w:val="Heading1"/>
        <w:pBdr>
          <w:bottom w:val="single" w:color="1565C0" w:sz="6"/>
        </w:pBdr>
        <w:spacing w:after="160" w:before="320"/>
      </w:pPr>
      <w:r>
        <w:rPr>
          <w:rFonts w:ascii="Arial" w:cs="Arial" w:eastAsia="Arial" w:hAnsi="Arial"/>
          <w:b/>
          <w:bCs/>
          <w:color w:val="1E2761"/>
          <w:sz w:val="32"/>
          <w:szCs w:val="32"/>
        </w:rPr>
        <w:t xml:space="preserve">3.  Category Performance Analysis</w:t>
      </w:r>
    </w:p>
    <w:p>
      <w:pPr>
        <w:spacing w:after="80" w:before="80"/>
      </w:pPr>
      <w:r>
        <w:rPr>
          <w:rFonts w:ascii="Arial" w:cs="Arial" w:eastAsia="Arial" w:hAnsi="Arial"/>
          <w:color w:val="1A1A2E"/>
          <w:sz w:val="22"/>
          <w:szCs w:val="22"/>
        </w:rPr>
        <w:t xml:space="preserve">This section addresses the primary business question: which product categories are driving revenue and profit, and is revenue growth translating into profit growth?</w:t>
      </w:r>
    </w:p>
    <w:p>
      <w:pPr>
        <w:spacing w:after="0" w:before="80"/>
      </w:pPr>
      <w:r>
        <w:t xml:space="preserve"/>
      </w:r>
    </w:p>
    <w:p>
      <w:pPr>
        <w:pStyle w:val="Heading2"/>
        <w:spacing w:after="100" w:before="240"/>
      </w:pPr>
      <w:r>
        <w:rPr>
          <w:rFonts w:ascii="Arial" w:cs="Arial" w:eastAsia="Arial" w:hAnsi="Arial"/>
          <w:b/>
          <w:bCs/>
          <w:color w:val="1565C0"/>
          <w:sz w:val="26"/>
          <w:szCs w:val="26"/>
        </w:rPr>
        <w:t xml:space="preserve">3.1  Sales and Profit by Category</w:t>
      </w:r>
    </w:p>
    <w:p>
      <w:pPr>
        <w:spacing w:after="80" w:before="80"/>
      </w:pPr>
      <w:r>
        <w:rPr>
          <w:rFonts w:ascii="Arial" w:cs="Arial" w:eastAsia="Arial" w:hAnsi="Arial"/>
          <w:color w:val="1A1A2E"/>
          <w:sz w:val="22"/>
          <w:szCs w:val="22"/>
        </w:rPr>
        <w:t xml:space="preserve">Furniture leads all five categories in both total sales and total profit, followed closely by Sports and Electronics. Groceries significantly underperforms all other categories in both revenue and profit terms, despite being a high-frequency purchase category.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1825"/>
        <w:gridCol w:w="1825"/>
        <w:gridCol w:w="1825"/>
        <w:gridCol w:w="1825"/>
      </w:tblGrid>
      <w:tr>
        <w:trPr>
          <w:tblHeader/>
        </w:trPr>
        <w:tc>
          <w:tcPr>
            <w:tcW w:type="dxa" w:w="2059"/>
            <w:tcBorders>
              <w:top w:val="single" w:color="1E2761" w:sz="4"/>
              <w:left w:val="single" w:color="1E2761" w:sz="4"/>
              <w:bottom w:val="single" w:color="1E2761" w:sz="4"/>
              <w:right w:val="single" w:color="1E2761" w:sz="4"/>
            </w:tcBorders>
            <w:shd w:fill="1E2761"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Category</w:t>
            </w:r>
          </w:p>
        </w:tc>
        <w:tc>
          <w:tcPr>
            <w:tcW w:type="dxa" w:w="1825"/>
            <w:tcBorders>
              <w:top w:val="single" w:color="1E2761" w:sz="4"/>
              <w:left w:val="single" w:color="1E2761" w:sz="4"/>
              <w:bottom w:val="single" w:color="1E2761" w:sz="4"/>
              <w:right w:val="single" w:color="1E2761" w:sz="4"/>
            </w:tcBorders>
            <w:shd w:fill="1E2761"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Total Sales</w:t>
            </w:r>
          </w:p>
        </w:tc>
        <w:tc>
          <w:tcPr>
            <w:tcW w:type="dxa" w:w="1825"/>
            <w:tcBorders>
              <w:top w:val="single" w:color="1E2761" w:sz="4"/>
              <w:left w:val="single" w:color="1E2761" w:sz="4"/>
              <w:bottom w:val="single" w:color="1E2761" w:sz="4"/>
              <w:right w:val="single" w:color="1E2761" w:sz="4"/>
            </w:tcBorders>
            <w:shd w:fill="1E2761"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Total Profit</w:t>
            </w:r>
          </w:p>
        </w:tc>
        <w:tc>
          <w:tcPr>
            <w:tcW w:type="dxa" w:w="1825"/>
            <w:tcBorders>
              <w:top w:val="single" w:color="1E2761" w:sz="4"/>
              <w:left w:val="single" w:color="1E2761" w:sz="4"/>
              <w:bottom w:val="single" w:color="1E2761" w:sz="4"/>
              <w:right w:val="single" w:color="1E2761" w:sz="4"/>
            </w:tcBorders>
            <w:shd w:fill="1E2761"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Avg Margin</w:t>
            </w:r>
          </w:p>
        </w:tc>
        <w:tc>
          <w:tcPr>
            <w:tcW w:type="dxa" w:w="1825"/>
            <w:tcBorders>
              <w:top w:val="single" w:color="1E2761" w:sz="4"/>
              <w:left w:val="single" w:color="1E2761" w:sz="4"/>
              <w:bottom w:val="single" w:color="1E2761" w:sz="4"/>
              <w:right w:val="single" w:color="1E2761" w:sz="4"/>
            </w:tcBorders>
            <w:shd w:fill="1E2761"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Performance</w:t>
            </w:r>
          </w:p>
        </w:tc>
      </w:tr>
      <w:tr>
        <w:tc>
          <w:tcPr>
            <w:tcW w:type="dxa" w:w="2059"/>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bCs/>
                <w:color w:val="1A1A2E"/>
                <w:sz w:val="20"/>
                <w:szCs w:val="20"/>
              </w:rPr>
              <w:t xml:space="preserve">Furniture</w:t>
            </w:r>
          </w:p>
        </w:tc>
        <w:tc>
          <w:tcPr>
            <w:tcW w:type="dxa" w:w="1825"/>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₦740M+</w:t>
            </w:r>
          </w:p>
        </w:tc>
        <w:tc>
          <w:tcPr>
            <w:tcW w:type="dxa" w:w="1825"/>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₦300M+</w:t>
            </w:r>
          </w:p>
        </w:tc>
        <w:tc>
          <w:tcPr>
            <w:tcW w:type="dxa" w:w="1825"/>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~42%</w:t>
            </w:r>
          </w:p>
        </w:tc>
        <w:tc>
          <w:tcPr>
            <w:tcW w:type="dxa" w:w="1825"/>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 Highest</w:t>
            </w:r>
          </w:p>
        </w:tc>
      </w:tr>
      <w:tr>
        <w:tc>
          <w:tcPr>
            <w:tcW w:type="dxa" w:w="2059"/>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bCs/>
                <w:color w:val="1A1A2E"/>
                <w:sz w:val="20"/>
                <w:szCs w:val="20"/>
              </w:rPr>
              <w:t xml:space="preserve">Sports</w:t>
            </w:r>
          </w:p>
        </w:tc>
        <w:tc>
          <w:tcPr>
            <w:tcW w:type="dxa" w:w="1825"/>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₦660M+</w:t>
            </w:r>
          </w:p>
        </w:tc>
        <w:tc>
          <w:tcPr>
            <w:tcW w:type="dxa" w:w="1825"/>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₦270M+</w:t>
            </w:r>
          </w:p>
        </w:tc>
        <w:tc>
          <w:tcPr>
            <w:tcW w:type="dxa" w:w="1825"/>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~42%</w:t>
            </w:r>
          </w:p>
        </w:tc>
        <w:tc>
          <w:tcPr>
            <w:tcW w:type="dxa" w:w="1825"/>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 Strong</w:t>
            </w:r>
          </w:p>
        </w:tc>
      </w:tr>
      <w:tr>
        <w:tc>
          <w:tcPr>
            <w:tcW w:type="dxa" w:w="2059"/>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bCs/>
                <w:color w:val="1A1A2E"/>
                <w:sz w:val="20"/>
                <w:szCs w:val="20"/>
              </w:rPr>
              <w:t xml:space="preserve">Electronics</w:t>
            </w:r>
          </w:p>
        </w:tc>
        <w:tc>
          <w:tcPr>
            <w:tcW w:type="dxa" w:w="1825"/>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₦620M+</w:t>
            </w:r>
          </w:p>
        </w:tc>
        <w:tc>
          <w:tcPr>
            <w:tcW w:type="dxa" w:w="1825"/>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₦255M+</w:t>
            </w:r>
          </w:p>
        </w:tc>
        <w:tc>
          <w:tcPr>
            <w:tcW w:type="dxa" w:w="1825"/>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~42%</w:t>
            </w:r>
          </w:p>
        </w:tc>
        <w:tc>
          <w:tcPr>
            <w:tcW w:type="dxa" w:w="1825"/>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 Solid</w:t>
            </w:r>
          </w:p>
        </w:tc>
      </w:tr>
      <w:tr>
        <w:tc>
          <w:tcPr>
            <w:tcW w:type="dxa" w:w="2059"/>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bCs/>
                <w:color w:val="1A1A2E"/>
                <w:sz w:val="20"/>
                <w:szCs w:val="20"/>
              </w:rPr>
              <w:t xml:space="preserve">Clothing</w:t>
            </w:r>
          </w:p>
        </w:tc>
        <w:tc>
          <w:tcPr>
            <w:tcW w:type="dxa" w:w="1825"/>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₦600M+</w:t>
            </w:r>
          </w:p>
        </w:tc>
        <w:tc>
          <w:tcPr>
            <w:tcW w:type="dxa" w:w="1825"/>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₦245M+</w:t>
            </w:r>
          </w:p>
        </w:tc>
        <w:tc>
          <w:tcPr>
            <w:tcW w:type="dxa" w:w="1825"/>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~42%</w:t>
            </w:r>
          </w:p>
        </w:tc>
        <w:tc>
          <w:tcPr>
            <w:tcW w:type="dxa" w:w="1825"/>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Average</w:t>
            </w:r>
          </w:p>
        </w:tc>
      </w:tr>
      <w:tr>
        <w:tc>
          <w:tcPr>
            <w:tcW w:type="dxa" w:w="2059"/>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bCs/>
                <w:color w:val="1A1A2E"/>
                <w:sz w:val="20"/>
                <w:szCs w:val="20"/>
              </w:rPr>
              <w:t xml:space="preserve">Groceries</w:t>
            </w:r>
          </w:p>
        </w:tc>
        <w:tc>
          <w:tcPr>
            <w:tcW w:type="dxa" w:w="1825"/>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~₦75M</w:t>
            </w:r>
          </w:p>
        </w:tc>
        <w:tc>
          <w:tcPr>
            <w:tcW w:type="dxa" w:w="1825"/>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~₦30M</w:t>
            </w:r>
          </w:p>
        </w:tc>
        <w:tc>
          <w:tcPr>
            <w:tcW w:type="dxa" w:w="1825"/>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~42%</w:t>
            </w:r>
          </w:p>
        </w:tc>
        <w:tc>
          <w:tcPr>
            <w:tcW w:type="dxa" w:w="1825"/>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 Low Volume</w:t>
            </w:r>
          </w:p>
        </w:tc>
      </w:tr>
    </w:tbl>
    <w:p>
      <w:pPr>
        <w:spacing w:after="0" w:before="100"/>
      </w:pPr>
      <w:r>
        <w:t xml:space="preserve"/>
      </w:r>
    </w:p>
    <w:p>
      <w:pPr>
        <w:spacing w:after="80" w:before="80"/>
      </w:pPr>
      <w:r>
        <w:rPr>
          <w:rFonts w:ascii="Arial" w:cs="Arial" w:eastAsia="Arial" w:hAnsi="Arial"/>
          <w:color w:val="1A1A2E"/>
          <w:sz w:val="22"/>
          <w:szCs w:val="22"/>
        </w:rPr>
        <w:t xml:space="preserve">An important observation is that all five categories maintain approximately the same profit margin of 42%. This means the gap between categories is a volume problem — not a pricing or cost problem. Groceries sells far fewer units and lower-value items, not that it is inherently less profitable per sale.</w:t>
      </w:r>
    </w:p>
    <w:p>
      <w:pPr>
        <w:spacing w:after="0" w:before="140"/>
      </w:pPr>
      <w:r>
        <w:t xml:space="preserve"/>
      </w:r>
    </w:p>
    <w:p>
      <w:pPr>
        <w:pStyle w:val="Heading2"/>
        <w:spacing w:after="100" w:before="240"/>
      </w:pPr>
      <w:r>
        <w:rPr>
          <w:rFonts w:ascii="Arial" w:cs="Arial" w:eastAsia="Arial" w:hAnsi="Arial"/>
          <w:b/>
          <w:bCs/>
          <w:color w:val="1565C0"/>
          <w:sz w:val="26"/>
          <w:szCs w:val="26"/>
        </w:rPr>
        <w:t xml:space="preserve">3.2  Key Findings</w:t>
      </w:r>
    </w:p>
    <w:p>
      <w:pPr>
        <w:pStyle w:val="ListParagraph"/>
        <w:numPr>
          <w:ilvl w:val="0"/>
          <w:numId w:val="2"/>
        </w:numPr>
        <w:spacing w:after="60" w:before="60"/>
      </w:pPr>
      <w:r>
        <w:rPr>
          <w:rFonts w:ascii="Arial" w:cs="Arial" w:eastAsia="Arial" w:hAnsi="Arial"/>
          <w:b w:val="false"/>
          <w:bCs w:val="false"/>
          <w:color w:val="1A1A2E"/>
          <w:sz w:val="22"/>
          <w:szCs w:val="22"/>
        </w:rPr>
        <w:t xml:space="preserve">Furniture is the star category — highest revenue, highest profit, consistent margin</w:t>
      </w:r>
    </w:p>
    <w:p>
      <w:pPr>
        <w:pStyle w:val="ListParagraph"/>
        <w:numPr>
          <w:ilvl w:val="0"/>
          <w:numId w:val="2"/>
        </w:numPr>
        <w:spacing w:after="60" w:before="60"/>
      </w:pPr>
      <w:r>
        <w:rPr>
          <w:rFonts w:ascii="Arial" w:cs="Arial" w:eastAsia="Arial" w:hAnsi="Arial"/>
          <w:b w:val="false"/>
          <w:bCs w:val="false"/>
          <w:color w:val="1A1A2E"/>
          <w:sz w:val="22"/>
          <w:szCs w:val="22"/>
        </w:rPr>
        <w:t xml:space="preserve">Groceries is a volume problem — the margin is healthy at 42% but transaction values are extremely low</w:t>
      </w:r>
    </w:p>
    <w:p>
      <w:pPr>
        <w:pStyle w:val="ListParagraph"/>
        <w:numPr>
          <w:ilvl w:val="0"/>
          <w:numId w:val="2"/>
        </w:numPr>
        <w:spacing w:after="60" w:before="60"/>
      </w:pPr>
      <w:r>
        <w:rPr>
          <w:rFonts w:ascii="Arial" w:cs="Arial" w:eastAsia="Arial" w:hAnsi="Arial"/>
          <w:b w:val="false"/>
          <w:bCs w:val="false"/>
          <w:color w:val="1A1A2E"/>
          <w:sz w:val="22"/>
          <w:szCs w:val="22"/>
        </w:rPr>
        <w:t xml:space="preserve">Electronics, Sports, and Clothing all cluster together in the mid-range with near-identical margins</w:t>
      </w:r>
    </w:p>
    <w:p>
      <w:pPr>
        <w:pStyle w:val="ListParagraph"/>
        <w:numPr>
          <w:ilvl w:val="0"/>
          <w:numId w:val="2"/>
        </w:numPr>
        <w:spacing w:after="60" w:before="60"/>
      </w:pPr>
      <w:r>
        <w:rPr>
          <w:rFonts w:ascii="Arial" w:cs="Arial" w:eastAsia="Arial" w:hAnsi="Arial"/>
          <w:b w:val="false"/>
          <w:bCs w:val="false"/>
          <w:color w:val="1A1A2E"/>
          <w:sz w:val="22"/>
          <w:szCs w:val="22"/>
        </w:rPr>
        <w:t xml:space="preserve">No category is losing money — all maintain a sustainable profit margin</w:t>
      </w:r>
    </w:p>
    <w:p>
      <w:r>
        <w:br w:type="page"/>
      </w:r>
    </w:p>
    <w:p>
      <w:pPr>
        <w:pStyle w:val="Heading1"/>
        <w:pBdr>
          <w:bottom w:val="single" w:color="1565C0" w:sz="6"/>
        </w:pBdr>
        <w:spacing w:after="160" w:before="320"/>
      </w:pPr>
      <w:r>
        <w:rPr>
          <w:rFonts w:ascii="Arial" w:cs="Arial" w:eastAsia="Arial" w:hAnsi="Arial"/>
          <w:b/>
          <w:bCs/>
          <w:color w:val="1E2761"/>
          <w:sz w:val="32"/>
          <w:szCs w:val="32"/>
        </w:rPr>
        <w:t xml:space="preserve">4.  Discount and Margin Impact Analysis</w:t>
      </w:r>
    </w:p>
    <w:p>
      <w:pPr>
        <w:spacing w:after="80" w:before="80"/>
      </w:pPr>
      <w:r>
        <w:rPr>
          <w:rFonts w:ascii="Arial" w:cs="Arial" w:eastAsia="Arial" w:hAnsi="Arial"/>
          <w:color w:val="1A1A2E"/>
          <w:sz w:val="22"/>
          <w:szCs w:val="22"/>
        </w:rPr>
        <w:t xml:space="preserve">This section investigates whether the company's discount policy is hurting profitability. The Finance Director expressed concern that margins may be eroding. The data tells a reassuring story.</w:t>
      </w:r>
    </w:p>
    <w:p>
      <w:pPr>
        <w:spacing w:after="0" w:before="80"/>
      </w:pPr>
      <w:r>
        <w:t xml:space="preserve"/>
      </w:r>
    </w:p>
    <w:p>
      <w:pPr>
        <w:pStyle w:val="Heading2"/>
        <w:spacing w:after="100" w:before="240"/>
      </w:pPr>
      <w:r>
        <w:rPr>
          <w:rFonts w:ascii="Arial" w:cs="Arial" w:eastAsia="Arial" w:hAnsi="Arial"/>
          <w:b/>
          <w:bCs/>
          <w:color w:val="1565C0"/>
          <w:sz w:val="26"/>
          <w:szCs w:val="26"/>
        </w:rPr>
        <w:t xml:space="preserve">4.1  Margin by Category and Discount Level</w:t>
      </w:r>
    </w:p>
    <w:p>
      <w:pPr>
        <w:spacing w:after="80" w:before="80"/>
      </w:pPr>
      <w:r>
        <w:rPr>
          <w:rFonts w:ascii="Arial" w:cs="Arial" w:eastAsia="Arial" w:hAnsi="Arial"/>
          <w:color w:val="1A1A2E"/>
          <w:sz w:val="22"/>
          <w:szCs w:val="22"/>
        </w:rPr>
        <w:t xml:space="preserve">The following table shows the average profit margin for each category at each discount level. A drop in margin as discount level increases would indicate that discounting is hurting profitability.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1460"/>
        <w:gridCol w:w="1460"/>
        <w:gridCol w:w="1460"/>
        <w:gridCol w:w="1460"/>
        <w:gridCol w:w="1460"/>
      </w:tblGrid>
      <w:tr>
        <w:trPr>
          <w:tblHeader/>
        </w:trPr>
        <w:tc>
          <w:tcPr>
            <w:tcW w:type="dxa" w:w="2059"/>
            <w:tcBorders>
              <w:top w:val="single" w:color="1E2761" w:sz="4"/>
              <w:left w:val="single" w:color="1E2761" w:sz="4"/>
              <w:bottom w:val="single" w:color="1E2761" w:sz="4"/>
              <w:right w:val="single" w:color="1E2761" w:sz="4"/>
            </w:tcBorders>
            <w:shd w:fill="1E2761"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Category</w:t>
            </w:r>
          </w:p>
        </w:tc>
        <w:tc>
          <w:tcPr>
            <w:tcW w:type="dxa" w:w="1460"/>
            <w:tcBorders>
              <w:top w:val="single" w:color="1E2761" w:sz="4"/>
              <w:left w:val="single" w:color="1E2761" w:sz="4"/>
              <w:bottom w:val="single" w:color="1E2761" w:sz="4"/>
              <w:right w:val="single" w:color="1E2761" w:sz="4"/>
            </w:tcBorders>
            <w:shd w:fill="1E2761"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0% Disc</w:t>
            </w:r>
          </w:p>
        </w:tc>
        <w:tc>
          <w:tcPr>
            <w:tcW w:type="dxa" w:w="1460"/>
            <w:tcBorders>
              <w:top w:val="single" w:color="1E2761" w:sz="4"/>
              <w:left w:val="single" w:color="1E2761" w:sz="4"/>
              <w:bottom w:val="single" w:color="1E2761" w:sz="4"/>
              <w:right w:val="single" w:color="1E2761" w:sz="4"/>
            </w:tcBorders>
            <w:shd w:fill="1E2761"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5% Disc</w:t>
            </w:r>
          </w:p>
        </w:tc>
        <w:tc>
          <w:tcPr>
            <w:tcW w:type="dxa" w:w="1460"/>
            <w:tcBorders>
              <w:top w:val="single" w:color="1E2761" w:sz="4"/>
              <w:left w:val="single" w:color="1E2761" w:sz="4"/>
              <w:bottom w:val="single" w:color="1E2761" w:sz="4"/>
              <w:right w:val="single" w:color="1E2761" w:sz="4"/>
            </w:tcBorders>
            <w:shd w:fill="1E2761"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10% Disc</w:t>
            </w:r>
          </w:p>
        </w:tc>
        <w:tc>
          <w:tcPr>
            <w:tcW w:type="dxa" w:w="1460"/>
            <w:tcBorders>
              <w:top w:val="single" w:color="1E2761" w:sz="4"/>
              <w:left w:val="single" w:color="1E2761" w:sz="4"/>
              <w:bottom w:val="single" w:color="1E2761" w:sz="4"/>
              <w:right w:val="single" w:color="1E2761" w:sz="4"/>
            </w:tcBorders>
            <w:shd w:fill="1E2761"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15% Disc</w:t>
            </w:r>
          </w:p>
        </w:tc>
        <w:tc>
          <w:tcPr>
            <w:tcW w:type="dxa" w:w="1460"/>
            <w:tcBorders>
              <w:top w:val="single" w:color="1E2761" w:sz="4"/>
              <w:left w:val="single" w:color="1E2761" w:sz="4"/>
              <w:bottom w:val="single" w:color="1E2761" w:sz="4"/>
              <w:right w:val="single" w:color="1E2761" w:sz="4"/>
            </w:tcBorders>
            <w:shd w:fill="1E2761"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20% Disc</w:t>
            </w:r>
          </w:p>
        </w:tc>
      </w:tr>
      <w:tr>
        <w:tc>
          <w:tcPr>
            <w:tcW w:type="dxa" w:w="2059"/>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bCs/>
                <w:color w:val="1A1A2E"/>
                <w:sz w:val="20"/>
                <w:szCs w:val="20"/>
              </w:rPr>
              <w:t xml:space="preserve">Furniture</w:t>
            </w:r>
          </w:p>
        </w:tc>
        <w:tc>
          <w:tcPr>
            <w:tcW w:type="dxa" w:w="14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42.91%</w:t>
            </w:r>
          </w:p>
        </w:tc>
        <w:tc>
          <w:tcPr>
            <w:tcW w:type="dxa" w:w="14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44.09%</w:t>
            </w:r>
          </w:p>
        </w:tc>
        <w:tc>
          <w:tcPr>
            <w:tcW w:type="dxa" w:w="14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41.65%</w:t>
            </w:r>
          </w:p>
        </w:tc>
        <w:tc>
          <w:tcPr>
            <w:tcW w:type="dxa" w:w="14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42.93%</w:t>
            </w:r>
          </w:p>
        </w:tc>
        <w:tc>
          <w:tcPr>
            <w:tcW w:type="dxa" w:w="14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43.13%</w:t>
            </w:r>
          </w:p>
        </w:tc>
      </w:tr>
      <w:tr>
        <w:tc>
          <w:tcPr>
            <w:tcW w:type="dxa" w:w="2059"/>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bCs/>
                <w:color w:val="1A1A2E"/>
                <w:sz w:val="20"/>
                <w:szCs w:val="20"/>
              </w:rPr>
              <w:t xml:space="preserve">Electronics</w:t>
            </w:r>
          </w:p>
        </w:tc>
        <w:tc>
          <w:tcPr>
            <w:tcW w:type="dxa" w:w="146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41.68%</w:t>
            </w:r>
          </w:p>
        </w:tc>
        <w:tc>
          <w:tcPr>
            <w:tcW w:type="dxa" w:w="146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41.86%</w:t>
            </w:r>
          </w:p>
        </w:tc>
        <w:tc>
          <w:tcPr>
            <w:tcW w:type="dxa" w:w="146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43.95%</w:t>
            </w:r>
          </w:p>
        </w:tc>
        <w:tc>
          <w:tcPr>
            <w:tcW w:type="dxa" w:w="146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44.59%</w:t>
            </w:r>
          </w:p>
        </w:tc>
        <w:tc>
          <w:tcPr>
            <w:tcW w:type="dxa" w:w="146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43.56%</w:t>
            </w:r>
          </w:p>
        </w:tc>
      </w:tr>
      <w:tr>
        <w:tc>
          <w:tcPr>
            <w:tcW w:type="dxa" w:w="2059"/>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bCs/>
                <w:color w:val="1A1A2E"/>
                <w:sz w:val="20"/>
                <w:szCs w:val="20"/>
              </w:rPr>
              <w:t xml:space="preserve">Groceries</w:t>
            </w:r>
          </w:p>
        </w:tc>
        <w:tc>
          <w:tcPr>
            <w:tcW w:type="dxa" w:w="14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42.51%</w:t>
            </w:r>
          </w:p>
        </w:tc>
        <w:tc>
          <w:tcPr>
            <w:tcW w:type="dxa" w:w="14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43.37%</w:t>
            </w:r>
          </w:p>
        </w:tc>
        <w:tc>
          <w:tcPr>
            <w:tcW w:type="dxa" w:w="14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41.64%</w:t>
            </w:r>
          </w:p>
        </w:tc>
        <w:tc>
          <w:tcPr>
            <w:tcW w:type="dxa" w:w="14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43.74%</w:t>
            </w:r>
          </w:p>
        </w:tc>
        <w:tc>
          <w:tcPr>
            <w:tcW w:type="dxa" w:w="14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41.69%</w:t>
            </w:r>
          </w:p>
        </w:tc>
      </w:tr>
      <w:tr>
        <w:tc>
          <w:tcPr>
            <w:tcW w:type="dxa" w:w="2059"/>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bCs/>
                <w:color w:val="1A1A2E"/>
                <w:sz w:val="20"/>
                <w:szCs w:val="20"/>
              </w:rPr>
              <w:t xml:space="preserve">Clothing</w:t>
            </w:r>
          </w:p>
        </w:tc>
        <w:tc>
          <w:tcPr>
            <w:tcW w:type="dxa" w:w="146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42.43%</w:t>
            </w:r>
          </w:p>
        </w:tc>
        <w:tc>
          <w:tcPr>
            <w:tcW w:type="dxa" w:w="146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40.03%</w:t>
            </w:r>
          </w:p>
        </w:tc>
        <w:tc>
          <w:tcPr>
            <w:tcW w:type="dxa" w:w="146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41.88%</w:t>
            </w:r>
          </w:p>
        </w:tc>
        <w:tc>
          <w:tcPr>
            <w:tcW w:type="dxa" w:w="146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42.32%</w:t>
            </w:r>
          </w:p>
        </w:tc>
        <w:tc>
          <w:tcPr>
            <w:tcW w:type="dxa" w:w="146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42.00%</w:t>
            </w:r>
          </w:p>
        </w:tc>
      </w:tr>
      <w:tr>
        <w:tc>
          <w:tcPr>
            <w:tcW w:type="dxa" w:w="2059"/>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bCs/>
                <w:color w:val="1A1A2E"/>
                <w:sz w:val="20"/>
                <w:szCs w:val="20"/>
              </w:rPr>
              <w:t xml:space="preserve">Sports</w:t>
            </w:r>
          </w:p>
        </w:tc>
        <w:tc>
          <w:tcPr>
            <w:tcW w:type="dxa" w:w="14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41.03%</w:t>
            </w:r>
          </w:p>
        </w:tc>
        <w:tc>
          <w:tcPr>
            <w:tcW w:type="dxa" w:w="14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42.96%</w:t>
            </w:r>
          </w:p>
        </w:tc>
        <w:tc>
          <w:tcPr>
            <w:tcW w:type="dxa" w:w="14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41.87%</w:t>
            </w:r>
          </w:p>
        </w:tc>
        <w:tc>
          <w:tcPr>
            <w:tcW w:type="dxa" w:w="14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38.99%</w:t>
            </w:r>
          </w:p>
        </w:tc>
        <w:tc>
          <w:tcPr>
            <w:tcW w:type="dxa" w:w="14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41.64%</w:t>
            </w:r>
          </w:p>
        </w:tc>
      </w:tr>
    </w:tbl>
    <w:p>
      <w:pPr>
        <w:spacing w:after="0" w:before="100"/>
      </w:pPr>
      <w:r>
        <w:t xml:space="preserve"/>
      </w:r>
    </w:p>
    <w:p>
      <w:pPr>
        <w:pStyle w:val="Heading2"/>
        <w:spacing w:after="100" w:before="240"/>
      </w:pPr>
      <w:r>
        <w:rPr>
          <w:rFonts w:ascii="Arial" w:cs="Arial" w:eastAsia="Arial" w:hAnsi="Arial"/>
          <w:b/>
          <w:bCs/>
          <w:color w:val="1565C0"/>
          <w:sz w:val="26"/>
          <w:szCs w:val="26"/>
        </w:rPr>
        <w:t xml:space="preserve">4.2  Key Findings</w:t>
      </w:r>
    </w:p>
    <w:p>
      <w:pPr>
        <w:pStyle w:val="ListParagraph"/>
        <w:numPr>
          <w:ilvl w:val="0"/>
          <w:numId w:val="2"/>
        </w:numPr>
        <w:spacing w:after="60" w:before="60"/>
      </w:pPr>
      <w:r>
        <w:rPr>
          <w:rFonts w:ascii="Arial" w:cs="Arial" w:eastAsia="Arial" w:hAnsi="Arial"/>
          <w:b w:val="false"/>
          <w:bCs w:val="false"/>
          <w:color w:val="1A1A2E"/>
          <w:sz w:val="22"/>
          <w:szCs w:val="22"/>
        </w:rPr>
        <w:t xml:space="preserve">Margins remain between 38.99% and 44.59% across all categories at all discount levels — an extremely narrow range</w:t>
      </w:r>
    </w:p>
    <w:p>
      <w:pPr>
        <w:pStyle w:val="ListParagraph"/>
        <w:numPr>
          <w:ilvl w:val="0"/>
          <w:numId w:val="2"/>
        </w:numPr>
        <w:spacing w:after="60" w:before="60"/>
      </w:pPr>
      <w:r>
        <w:rPr>
          <w:rFonts w:ascii="Arial" w:cs="Arial" w:eastAsia="Arial" w:hAnsi="Arial"/>
          <w:b w:val="false"/>
          <w:bCs w:val="false"/>
          <w:color w:val="1A1A2E"/>
          <w:sz w:val="22"/>
          <w:szCs w:val="22"/>
        </w:rPr>
        <w:t xml:space="preserve">There is no consistent downward trend in margin as discount level increases — discounts are not hurting profitability</w:t>
      </w:r>
    </w:p>
    <w:p>
      <w:pPr>
        <w:pStyle w:val="ListParagraph"/>
        <w:numPr>
          <w:ilvl w:val="0"/>
          <w:numId w:val="2"/>
        </w:numPr>
        <w:spacing w:after="60" w:before="60"/>
      </w:pPr>
      <w:r>
        <w:rPr>
          <w:rFonts w:ascii="Arial" w:cs="Arial" w:eastAsia="Arial" w:hAnsi="Arial"/>
          <w:b w:val="false"/>
          <w:bCs w:val="false"/>
          <w:color w:val="1A1A2E"/>
          <w:sz w:val="22"/>
          <w:szCs w:val="22"/>
        </w:rPr>
        <w:t xml:space="preserve">Sports at 15% discount is the only notable exception — dropping to 38.99% margin — this is the only area requiring monitoring</w:t>
      </w:r>
    </w:p>
    <w:p>
      <w:pPr>
        <w:pStyle w:val="ListParagraph"/>
        <w:numPr>
          <w:ilvl w:val="0"/>
          <w:numId w:val="2"/>
        </w:numPr>
        <w:spacing w:after="60" w:before="60"/>
      </w:pPr>
      <w:r>
        <w:rPr>
          <w:rFonts w:ascii="Arial" w:cs="Arial" w:eastAsia="Arial" w:hAnsi="Arial"/>
          <w:b w:val="false"/>
          <w:bCs w:val="false"/>
          <w:color w:val="1A1A2E"/>
          <w:sz w:val="22"/>
          <w:szCs w:val="22"/>
        </w:rPr>
        <w:t xml:space="preserve">The company's cost structure is flexible enough to absorb discounts without margin erosion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10B981" w:val="clear"/>
          </w:tcPr>
          <w:p>
            <w:r>
              <w:t xml:space="preserve"/>
            </w:r>
          </w:p>
        </w:tc>
        <w:tc>
          <w:tcPr>
            <w:tcW w:type="dxa" w:w="9200"/>
            <w:tcBorders>
              <w:top w:val="single" w:color="EEEEEE" w:sz="4"/>
              <w:left w:val="none" w:color="FFFFFF" w:sz="0"/>
              <w:bottom w:val="single" w:color="EEEEEE" w:sz="4"/>
              <w:right w:val="none" w:color="FFFFFF" w:sz="0"/>
            </w:tcBorders>
            <w:shd w:fill="F1F5F9" w:val="clear"/>
            <w:tcMar>
              <w:top w:type="dxa" w:w="120"/>
              <w:left w:type="dxa" w:w="160"/>
              <w:bottom w:type="dxa" w:w="120"/>
              <w:right w:type="dxa" w:w="120"/>
            </w:tcMar>
          </w:tcPr>
          <w:p>
            <w:pPr>
              <w:spacing w:after="80" w:before="0"/>
            </w:pPr>
            <w:r>
              <w:rPr>
                <w:rFonts w:ascii="Arial" w:cs="Arial" w:eastAsia="Arial" w:hAnsi="Arial"/>
                <w:b/>
                <w:bCs/>
                <w:color w:val="10B981"/>
                <w:sz w:val="24"/>
                <w:szCs w:val="24"/>
              </w:rPr>
              <w:t xml:space="preserve">🔑  Critical Finding — Discounts Are Not the Problem</w:t>
            </w:r>
          </w:p>
          <w:p>
            <w:pPr>
              <w:spacing w:after="0" w:before="0"/>
            </w:pPr>
            <w:r>
              <w:rPr>
                <w:rFonts w:ascii="Arial" w:cs="Arial" w:eastAsia="Arial" w:hAnsi="Arial"/>
                <w:color w:val="1A1A2E"/>
                <w:sz w:val="21"/>
                <w:szCs w:val="21"/>
              </w:rPr>
              <w:t xml:space="preserve">The CEO's concern about shrinking margins is not caused by the discount policy. Margins are stable and consistent regardless of discount level. The Finance Director should investigate whether the margin concern relates to overall volume growth not keeping pace with fixed cost increases — not the discount structure itself.</w:t>
            </w:r>
          </w:p>
        </w:tc>
      </w:tr>
    </w:tbl>
    <w:p>
      <w:r>
        <w:br w:type="page"/>
      </w:r>
    </w:p>
    <w:p>
      <w:pPr>
        <w:pStyle w:val="Heading1"/>
        <w:pBdr>
          <w:bottom w:val="single" w:color="1565C0" w:sz="6"/>
        </w:pBdr>
        <w:spacing w:after="160" w:before="320"/>
      </w:pPr>
      <w:r>
        <w:rPr>
          <w:rFonts w:ascii="Arial" w:cs="Arial" w:eastAsia="Arial" w:hAnsi="Arial"/>
          <w:b/>
          <w:bCs/>
          <w:color w:val="1E2761"/>
          <w:sz w:val="32"/>
          <w:szCs w:val="32"/>
        </w:rPr>
        <w:t xml:space="preserve">5.  Regional Performance Analysis</w:t>
      </w:r>
    </w:p>
    <w:p>
      <w:pPr>
        <w:spacing w:after="80" w:before="80"/>
      </w:pPr>
      <w:r>
        <w:rPr>
          <w:rFonts w:ascii="Arial" w:cs="Arial" w:eastAsia="Arial" w:hAnsi="Arial"/>
          <w:color w:val="1A1A2E"/>
          <w:sz w:val="22"/>
          <w:szCs w:val="22"/>
        </w:rPr>
        <w:t xml:space="preserve">This section examines which regions and cities are driving business performance and which require strategic intervention.</w:t>
      </w:r>
    </w:p>
    <w:p>
      <w:pPr>
        <w:spacing w:after="0" w:before="80"/>
      </w:pPr>
      <w:r>
        <w:t xml:space="preserve"/>
      </w:r>
    </w:p>
    <w:p>
      <w:pPr>
        <w:pStyle w:val="Heading2"/>
        <w:spacing w:after="100" w:before="240"/>
      </w:pPr>
      <w:r>
        <w:rPr>
          <w:rFonts w:ascii="Arial" w:cs="Arial" w:eastAsia="Arial" w:hAnsi="Arial"/>
          <w:b/>
          <w:bCs/>
          <w:color w:val="1565C0"/>
          <w:sz w:val="26"/>
          <w:szCs w:val="26"/>
        </w:rPr>
        <w:t xml:space="preserve">5.1  Regional Sales Ranking</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1825"/>
        <w:gridCol w:w="1825"/>
        <w:gridCol w:w="1825"/>
        <w:gridCol w:w="1825"/>
      </w:tblGrid>
      <w:tr>
        <w:trPr>
          <w:tblHeader/>
        </w:trPr>
        <w:tc>
          <w:tcPr>
            <w:tcW w:type="dxa" w:w="2059"/>
            <w:tcBorders>
              <w:top w:val="single" w:color="1E2761" w:sz="4"/>
              <w:left w:val="single" w:color="1E2761" w:sz="4"/>
              <w:bottom w:val="single" w:color="1E2761" w:sz="4"/>
              <w:right w:val="single" w:color="1E2761" w:sz="4"/>
            </w:tcBorders>
            <w:shd w:fill="1E2761"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Rank</w:t>
            </w:r>
          </w:p>
        </w:tc>
        <w:tc>
          <w:tcPr>
            <w:tcW w:type="dxa" w:w="1825"/>
            <w:tcBorders>
              <w:top w:val="single" w:color="1E2761" w:sz="4"/>
              <w:left w:val="single" w:color="1E2761" w:sz="4"/>
              <w:bottom w:val="single" w:color="1E2761" w:sz="4"/>
              <w:right w:val="single" w:color="1E2761" w:sz="4"/>
            </w:tcBorders>
            <w:shd w:fill="1E2761"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Region</w:t>
            </w:r>
          </w:p>
        </w:tc>
        <w:tc>
          <w:tcPr>
            <w:tcW w:type="dxa" w:w="1825"/>
            <w:tcBorders>
              <w:top w:val="single" w:color="1E2761" w:sz="4"/>
              <w:left w:val="single" w:color="1E2761" w:sz="4"/>
              <w:bottom w:val="single" w:color="1E2761" w:sz="4"/>
              <w:right w:val="single" w:color="1E2761" w:sz="4"/>
            </w:tcBorders>
            <w:shd w:fill="1E2761"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Total Sales</w:t>
            </w:r>
          </w:p>
        </w:tc>
        <w:tc>
          <w:tcPr>
            <w:tcW w:type="dxa" w:w="1825"/>
            <w:tcBorders>
              <w:top w:val="single" w:color="1E2761" w:sz="4"/>
              <w:left w:val="single" w:color="1E2761" w:sz="4"/>
              <w:bottom w:val="single" w:color="1E2761" w:sz="4"/>
              <w:right w:val="single" w:color="1E2761" w:sz="4"/>
            </w:tcBorders>
            <w:shd w:fill="1E2761"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Total Profit</w:t>
            </w:r>
          </w:p>
        </w:tc>
        <w:tc>
          <w:tcPr>
            <w:tcW w:type="dxa" w:w="1825"/>
            <w:tcBorders>
              <w:top w:val="single" w:color="1E2761" w:sz="4"/>
              <w:left w:val="single" w:color="1E2761" w:sz="4"/>
              <w:bottom w:val="single" w:color="1E2761" w:sz="4"/>
              <w:right w:val="single" w:color="1E2761" w:sz="4"/>
            </w:tcBorders>
            <w:shd w:fill="1E2761"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Avg Margin</w:t>
            </w:r>
          </w:p>
        </w:tc>
      </w:tr>
      <w:tr>
        <w:tc>
          <w:tcPr>
            <w:tcW w:type="dxa" w:w="2059"/>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bCs/>
                <w:color w:val="1A1A2E"/>
                <w:sz w:val="20"/>
                <w:szCs w:val="20"/>
              </w:rPr>
              <w:t xml:space="preserve">🥇 1</w:t>
            </w:r>
          </w:p>
        </w:tc>
        <w:tc>
          <w:tcPr>
            <w:tcW w:type="dxa" w:w="1825"/>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West</w:t>
            </w:r>
          </w:p>
        </w:tc>
        <w:tc>
          <w:tcPr>
            <w:tcW w:type="dxa" w:w="1825"/>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₦480M+</w:t>
            </w:r>
          </w:p>
        </w:tc>
        <w:tc>
          <w:tcPr>
            <w:tcW w:type="dxa" w:w="1825"/>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₦195M+</w:t>
            </w:r>
          </w:p>
        </w:tc>
        <w:tc>
          <w:tcPr>
            <w:tcW w:type="dxa" w:w="1825"/>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~41%</w:t>
            </w:r>
          </w:p>
        </w:tc>
      </w:tr>
      <w:tr>
        <w:tc>
          <w:tcPr>
            <w:tcW w:type="dxa" w:w="2059"/>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bCs/>
                <w:color w:val="1A1A2E"/>
                <w:sz w:val="20"/>
                <w:szCs w:val="20"/>
              </w:rPr>
              <w:t xml:space="preserve">🥈 2</w:t>
            </w:r>
          </w:p>
        </w:tc>
        <w:tc>
          <w:tcPr>
            <w:tcW w:type="dxa" w:w="1825"/>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Central</w:t>
            </w:r>
          </w:p>
        </w:tc>
        <w:tc>
          <w:tcPr>
            <w:tcW w:type="dxa" w:w="1825"/>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₦460M+</w:t>
            </w:r>
          </w:p>
        </w:tc>
        <w:tc>
          <w:tcPr>
            <w:tcW w:type="dxa" w:w="1825"/>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₦185M+</w:t>
            </w:r>
          </w:p>
        </w:tc>
        <w:tc>
          <w:tcPr>
            <w:tcW w:type="dxa" w:w="1825"/>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~41%</w:t>
            </w:r>
          </w:p>
        </w:tc>
      </w:tr>
      <w:tr>
        <w:tc>
          <w:tcPr>
            <w:tcW w:type="dxa" w:w="2059"/>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bCs/>
                <w:color w:val="1A1A2E"/>
                <w:sz w:val="20"/>
                <w:szCs w:val="20"/>
              </w:rPr>
              <w:t xml:space="preserve">🥉 3</w:t>
            </w:r>
          </w:p>
        </w:tc>
        <w:tc>
          <w:tcPr>
            <w:tcW w:type="dxa" w:w="1825"/>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North</w:t>
            </w:r>
          </w:p>
        </w:tc>
        <w:tc>
          <w:tcPr>
            <w:tcW w:type="dxa" w:w="1825"/>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₦440M+</w:t>
            </w:r>
          </w:p>
        </w:tc>
        <w:tc>
          <w:tcPr>
            <w:tcW w:type="dxa" w:w="1825"/>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₦175M+</w:t>
            </w:r>
          </w:p>
        </w:tc>
        <w:tc>
          <w:tcPr>
            <w:tcW w:type="dxa" w:w="1825"/>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~41%</w:t>
            </w:r>
          </w:p>
        </w:tc>
      </w:tr>
      <w:tr>
        <w:tc>
          <w:tcPr>
            <w:tcW w:type="dxa" w:w="2059"/>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bCs/>
                <w:color w:val="1A1A2E"/>
                <w:sz w:val="20"/>
                <w:szCs w:val="20"/>
              </w:rPr>
              <w:t xml:space="preserve">  4</w:t>
            </w:r>
          </w:p>
        </w:tc>
        <w:tc>
          <w:tcPr>
            <w:tcW w:type="dxa" w:w="1825"/>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East</w:t>
            </w:r>
          </w:p>
        </w:tc>
        <w:tc>
          <w:tcPr>
            <w:tcW w:type="dxa" w:w="1825"/>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₦390M+</w:t>
            </w:r>
          </w:p>
        </w:tc>
        <w:tc>
          <w:tcPr>
            <w:tcW w:type="dxa" w:w="1825"/>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₦155M+</w:t>
            </w:r>
          </w:p>
        </w:tc>
        <w:tc>
          <w:tcPr>
            <w:tcW w:type="dxa" w:w="1825"/>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~41%</w:t>
            </w:r>
          </w:p>
        </w:tc>
      </w:tr>
      <w:tr>
        <w:tc>
          <w:tcPr>
            <w:tcW w:type="dxa" w:w="2059"/>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bCs/>
                <w:color w:val="1A1A2E"/>
                <w:sz w:val="20"/>
                <w:szCs w:val="20"/>
              </w:rPr>
              <w:t xml:space="preserve">  5</w:t>
            </w:r>
          </w:p>
        </w:tc>
        <w:tc>
          <w:tcPr>
            <w:tcW w:type="dxa" w:w="1825"/>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South</w:t>
            </w:r>
          </w:p>
        </w:tc>
        <w:tc>
          <w:tcPr>
            <w:tcW w:type="dxa" w:w="1825"/>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₦370M+</w:t>
            </w:r>
          </w:p>
        </w:tc>
        <w:tc>
          <w:tcPr>
            <w:tcW w:type="dxa" w:w="1825"/>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₦148M+</w:t>
            </w:r>
          </w:p>
        </w:tc>
        <w:tc>
          <w:tcPr>
            <w:tcW w:type="dxa" w:w="1825"/>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~41%</w:t>
            </w:r>
          </w:p>
        </w:tc>
      </w:tr>
    </w:tbl>
    <w:p>
      <w:pPr>
        <w:spacing w:after="0" w:before="100"/>
      </w:pPr>
      <w:r>
        <w:t xml:space="preserve"/>
      </w:r>
    </w:p>
    <w:p>
      <w:pPr>
        <w:pStyle w:val="Heading2"/>
        <w:spacing w:after="100" w:before="240"/>
      </w:pPr>
      <w:r>
        <w:rPr>
          <w:rFonts w:ascii="Arial" w:cs="Arial" w:eastAsia="Arial" w:hAnsi="Arial"/>
          <w:b/>
          <w:bCs/>
          <w:color w:val="1565C0"/>
          <w:sz w:val="26"/>
          <w:szCs w:val="26"/>
        </w:rPr>
        <w:t xml:space="preserve">5.2  Key Findings</w:t>
      </w:r>
    </w:p>
    <w:p>
      <w:pPr>
        <w:pStyle w:val="ListParagraph"/>
        <w:numPr>
          <w:ilvl w:val="0"/>
          <w:numId w:val="2"/>
        </w:numPr>
        <w:spacing w:after="60" w:before="60"/>
      </w:pPr>
      <w:r>
        <w:rPr>
          <w:rFonts w:ascii="Arial" w:cs="Arial" w:eastAsia="Arial" w:hAnsi="Arial"/>
          <w:b w:val="false"/>
          <w:bCs w:val="false"/>
          <w:color w:val="1A1A2E"/>
          <w:sz w:val="22"/>
          <w:szCs w:val="22"/>
        </w:rPr>
        <w:t xml:space="preserve">West region leads primarily due to Lagos — the largest urban market in Nigeria with the highest purchasing power and population density</w:t>
      </w:r>
    </w:p>
    <w:p>
      <w:pPr>
        <w:pStyle w:val="ListParagraph"/>
        <w:numPr>
          <w:ilvl w:val="0"/>
          <w:numId w:val="2"/>
        </w:numPr>
        <w:spacing w:after="60" w:before="60"/>
      </w:pPr>
      <w:r>
        <w:rPr>
          <w:rFonts w:ascii="Arial" w:cs="Arial" w:eastAsia="Arial" w:hAnsi="Arial"/>
          <w:b w:val="false"/>
          <w:bCs w:val="false"/>
          <w:color w:val="1A1A2E"/>
          <w:sz w:val="22"/>
          <w:szCs w:val="22"/>
        </w:rPr>
        <w:t xml:space="preserve">Central region performs surprisingly well — Lokoja, Makurdi, and Lafia combined deliver strong volumes despite smaller urban populations</w:t>
      </w:r>
    </w:p>
    <w:p>
      <w:pPr>
        <w:pStyle w:val="ListParagraph"/>
        <w:numPr>
          <w:ilvl w:val="0"/>
          <w:numId w:val="2"/>
        </w:numPr>
        <w:spacing w:after="60" w:before="60"/>
      </w:pPr>
      <w:r>
        <w:rPr>
          <w:rFonts w:ascii="Arial" w:cs="Arial" w:eastAsia="Arial" w:hAnsi="Arial"/>
          <w:b w:val="false"/>
          <w:bCs w:val="false"/>
          <w:color w:val="1A1A2E"/>
          <w:sz w:val="22"/>
          <w:szCs w:val="22"/>
        </w:rPr>
        <w:t xml:space="preserve">South region significantly underperforms relative to its economic importance — Port Harcourt and Benin City have major untapped potential</w:t>
      </w:r>
    </w:p>
    <w:p>
      <w:pPr>
        <w:pStyle w:val="ListParagraph"/>
        <w:numPr>
          <w:ilvl w:val="0"/>
          <w:numId w:val="2"/>
        </w:numPr>
        <w:spacing w:after="60" w:before="60"/>
      </w:pPr>
      <w:r>
        <w:rPr>
          <w:rFonts w:ascii="Arial" w:cs="Arial" w:eastAsia="Arial" w:hAnsi="Arial"/>
          <w:b w:val="false"/>
          <w:bCs w:val="false"/>
          <w:color w:val="1A1A2E"/>
          <w:sz w:val="22"/>
          <w:szCs w:val="22"/>
        </w:rPr>
        <w:t xml:space="preserve">All five regions maintain approximately 41% profit margin — the performance gap is purely a volume issue, not a profitability issue</w:t>
      </w:r>
    </w:p>
    <w:p>
      <w:pPr>
        <w:pStyle w:val="ListParagraph"/>
        <w:numPr>
          <w:ilvl w:val="0"/>
          <w:numId w:val="2"/>
        </w:numPr>
        <w:spacing w:after="60" w:before="60"/>
      </w:pPr>
      <w:r>
        <w:rPr>
          <w:rFonts w:ascii="Arial" w:cs="Arial" w:eastAsia="Arial" w:hAnsi="Arial"/>
          <w:b w:val="false"/>
          <w:bCs w:val="false"/>
          <w:color w:val="1A1A2E"/>
          <w:sz w:val="22"/>
          <w:szCs w:val="22"/>
        </w:rPr>
        <w:t xml:space="preserve">City-level data from the dashboard map confirms Lagos as the single largest bubble, followed by Kano and Onitsha</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DC2626" w:val="clear"/>
          </w:tcPr>
          <w:p>
            <w:r>
              <w:t xml:space="preserve"/>
            </w:r>
          </w:p>
        </w:tc>
        <w:tc>
          <w:tcPr>
            <w:tcW w:type="dxa" w:w="9200"/>
            <w:tcBorders>
              <w:top w:val="single" w:color="EEEEEE" w:sz="4"/>
              <w:left w:val="none" w:color="FFFFFF" w:sz="0"/>
              <w:bottom w:val="single" w:color="EEEEEE" w:sz="4"/>
              <w:right w:val="none" w:color="FFFFFF" w:sz="0"/>
            </w:tcBorders>
            <w:shd w:fill="F1F5F9" w:val="clear"/>
            <w:tcMar>
              <w:top w:type="dxa" w:w="120"/>
              <w:left w:type="dxa" w:w="160"/>
              <w:bottom w:type="dxa" w:w="120"/>
              <w:right w:type="dxa" w:w="120"/>
            </w:tcMar>
          </w:tcPr>
          <w:p>
            <w:pPr>
              <w:spacing w:after="80" w:before="0"/>
            </w:pPr>
            <w:r>
              <w:rPr>
                <w:rFonts w:ascii="Arial" w:cs="Arial" w:eastAsia="Arial" w:hAnsi="Arial"/>
                <w:b/>
                <w:bCs/>
                <w:color w:val="DC2626"/>
                <w:sz w:val="24"/>
                <w:szCs w:val="24"/>
              </w:rPr>
              <w:t xml:space="preserve">⚠️  South Region Requires Immediate Attention</w:t>
            </w:r>
          </w:p>
          <w:p>
            <w:pPr>
              <w:spacing w:after="0" w:before="0"/>
            </w:pPr>
            <w:r>
              <w:rPr>
                <w:rFonts w:ascii="Arial" w:cs="Arial" w:eastAsia="Arial" w:hAnsi="Arial"/>
                <w:color w:val="1A1A2E"/>
                <w:sz w:val="21"/>
                <w:szCs w:val="21"/>
              </w:rPr>
              <w:t xml:space="preserve">The South region ranking fifth out of five is the most actionable finding in this report. Port Harcourt is Nigeria's oil capital and Benin City is a major commercial hub — both should be performing significantly better. A dedicated marketing campaign and potential pricing review for the South region is strongly recommended before Q3 2026 — the peak sales season.</w:t>
            </w:r>
          </w:p>
        </w:tc>
      </w:tr>
    </w:tbl>
    <w:p>
      <w:r>
        <w:br w:type="page"/>
      </w:r>
    </w:p>
    <w:p>
      <w:pPr>
        <w:pStyle w:val="Heading1"/>
        <w:pBdr>
          <w:bottom w:val="single" w:color="1565C0" w:sz="6"/>
        </w:pBdr>
        <w:spacing w:after="160" w:before="320"/>
      </w:pPr>
      <w:r>
        <w:rPr>
          <w:rFonts w:ascii="Arial" w:cs="Arial" w:eastAsia="Arial" w:hAnsi="Arial"/>
          <w:b/>
          <w:bCs/>
          <w:color w:val="1E2761"/>
          <w:sz w:val="32"/>
          <w:szCs w:val="32"/>
        </w:rPr>
        <w:t xml:space="preserve">6.  Sales Channel and Payment Analysis</w:t>
      </w:r>
    </w:p>
    <w:p>
      <w:pPr>
        <w:pStyle w:val="Heading2"/>
        <w:spacing w:after="100" w:before="240"/>
      </w:pPr>
      <w:r>
        <w:rPr>
          <w:rFonts w:ascii="Arial" w:cs="Arial" w:eastAsia="Arial" w:hAnsi="Arial"/>
          <w:b/>
          <w:bCs/>
          <w:color w:val="1565C0"/>
          <w:sz w:val="26"/>
          <w:szCs w:val="26"/>
        </w:rPr>
        <w:t xml:space="preserve">6.1  Sales Channel Performance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1825"/>
        <w:gridCol w:w="1825"/>
        <w:gridCol w:w="1825"/>
        <w:gridCol w:w="1825"/>
      </w:tblGrid>
      <w:tr>
        <w:trPr>
          <w:tblHeader/>
        </w:trPr>
        <w:tc>
          <w:tcPr>
            <w:tcW w:type="dxa" w:w="2059"/>
            <w:tcBorders>
              <w:top w:val="single" w:color="1E2761" w:sz="4"/>
              <w:left w:val="single" w:color="1E2761" w:sz="4"/>
              <w:bottom w:val="single" w:color="1E2761" w:sz="4"/>
              <w:right w:val="single" w:color="1E2761" w:sz="4"/>
            </w:tcBorders>
            <w:shd w:fill="1E2761"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Channel</w:t>
            </w:r>
          </w:p>
        </w:tc>
        <w:tc>
          <w:tcPr>
            <w:tcW w:type="dxa" w:w="1825"/>
            <w:tcBorders>
              <w:top w:val="single" w:color="1E2761" w:sz="4"/>
              <w:left w:val="single" w:color="1E2761" w:sz="4"/>
              <w:bottom w:val="single" w:color="1E2761" w:sz="4"/>
              <w:right w:val="single" w:color="1E2761" w:sz="4"/>
            </w:tcBorders>
            <w:shd w:fill="1E2761"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 of Sales</w:t>
            </w:r>
          </w:p>
        </w:tc>
        <w:tc>
          <w:tcPr>
            <w:tcW w:type="dxa" w:w="1825"/>
            <w:tcBorders>
              <w:top w:val="single" w:color="1E2761" w:sz="4"/>
              <w:left w:val="single" w:color="1E2761" w:sz="4"/>
              <w:bottom w:val="single" w:color="1E2761" w:sz="4"/>
              <w:right w:val="single" w:color="1E2761" w:sz="4"/>
            </w:tcBorders>
            <w:shd w:fill="1E2761"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Revenue</w:t>
            </w:r>
          </w:p>
        </w:tc>
        <w:tc>
          <w:tcPr>
            <w:tcW w:type="dxa" w:w="1825"/>
            <w:tcBorders>
              <w:top w:val="single" w:color="1E2761" w:sz="4"/>
              <w:left w:val="single" w:color="1E2761" w:sz="4"/>
              <w:bottom w:val="single" w:color="1E2761" w:sz="4"/>
              <w:right w:val="single" w:color="1E2761" w:sz="4"/>
            </w:tcBorders>
            <w:shd w:fill="1E2761"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Profit</w:t>
            </w:r>
          </w:p>
        </w:tc>
        <w:tc>
          <w:tcPr>
            <w:tcW w:type="dxa" w:w="1825"/>
            <w:tcBorders>
              <w:top w:val="single" w:color="1E2761" w:sz="4"/>
              <w:left w:val="single" w:color="1E2761" w:sz="4"/>
              <w:bottom w:val="single" w:color="1E2761" w:sz="4"/>
              <w:right w:val="single" w:color="1E2761" w:sz="4"/>
            </w:tcBorders>
            <w:shd w:fill="1E2761"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Assessment</w:t>
            </w:r>
          </w:p>
        </w:tc>
      </w:tr>
      <w:tr>
        <w:tc>
          <w:tcPr>
            <w:tcW w:type="dxa" w:w="2059"/>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bCs/>
                <w:color w:val="1A1A2E"/>
                <w:sz w:val="20"/>
                <w:szCs w:val="20"/>
              </w:rPr>
              <w:t xml:space="preserve">In-Store</w:t>
            </w:r>
          </w:p>
        </w:tc>
        <w:tc>
          <w:tcPr>
            <w:tcW w:type="dxa" w:w="1825"/>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34.78%</w:t>
            </w:r>
          </w:p>
        </w:tc>
        <w:tc>
          <w:tcPr>
            <w:tcW w:type="dxa" w:w="1825"/>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₦744M</w:t>
            </w:r>
          </w:p>
        </w:tc>
        <w:tc>
          <w:tcPr>
            <w:tcW w:type="dxa" w:w="1825"/>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₦284M</w:t>
            </w:r>
          </w:p>
        </w:tc>
        <w:tc>
          <w:tcPr>
            <w:tcW w:type="dxa" w:w="1825"/>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Highest revenue</w:t>
            </w:r>
          </w:p>
        </w:tc>
      </w:tr>
      <w:tr>
        <w:tc>
          <w:tcPr>
            <w:tcW w:type="dxa" w:w="2059"/>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bCs/>
                <w:color w:val="1A1A2E"/>
                <w:sz w:val="20"/>
                <w:szCs w:val="20"/>
              </w:rPr>
              <w:t xml:space="preserve">Online</w:t>
            </w:r>
          </w:p>
        </w:tc>
        <w:tc>
          <w:tcPr>
            <w:tcW w:type="dxa" w:w="1825"/>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33.88%</w:t>
            </w:r>
          </w:p>
        </w:tc>
        <w:tc>
          <w:tcPr>
            <w:tcW w:type="dxa" w:w="1825"/>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₦724M</w:t>
            </w:r>
          </w:p>
        </w:tc>
        <w:tc>
          <w:tcPr>
            <w:tcW w:type="dxa" w:w="1825"/>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₦309M</w:t>
            </w:r>
          </w:p>
        </w:tc>
        <w:tc>
          <w:tcPr>
            <w:tcW w:type="dxa" w:w="1825"/>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Highest profit margin</w:t>
            </w:r>
          </w:p>
        </w:tc>
      </w:tr>
      <w:tr>
        <w:tc>
          <w:tcPr>
            <w:tcW w:type="dxa" w:w="2059"/>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bCs/>
                <w:color w:val="1A1A2E"/>
                <w:sz w:val="20"/>
                <w:szCs w:val="20"/>
              </w:rPr>
              <w:t xml:space="preserve">Mobile App</w:t>
            </w:r>
          </w:p>
        </w:tc>
        <w:tc>
          <w:tcPr>
            <w:tcW w:type="dxa" w:w="1825"/>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31.34%</w:t>
            </w:r>
          </w:p>
        </w:tc>
        <w:tc>
          <w:tcPr>
            <w:tcW w:type="dxa" w:w="1825"/>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₦670M</w:t>
            </w:r>
          </w:p>
        </w:tc>
        <w:tc>
          <w:tcPr>
            <w:tcW w:type="dxa" w:w="1825"/>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₦318M</w:t>
            </w:r>
          </w:p>
        </w:tc>
        <w:tc>
          <w:tcPr>
            <w:tcW w:type="dxa" w:w="1825"/>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Highest profit per sale</w:t>
            </w:r>
          </w:p>
        </w:tc>
      </w:tr>
    </w:tbl>
    <w:p>
      <w:pPr>
        <w:spacing w:after="0" w:before="80"/>
      </w:pPr>
      <w:r>
        <w:t xml:space="preserve"/>
      </w:r>
    </w:p>
    <w:p>
      <w:pPr>
        <w:spacing w:after="80" w:before="80"/>
      </w:pPr>
      <w:r>
        <w:rPr>
          <w:rFonts w:ascii="Arial" w:cs="Arial" w:eastAsia="Arial" w:hAnsi="Arial"/>
          <w:color w:val="1A1A2E"/>
          <w:sz w:val="22"/>
          <w:szCs w:val="22"/>
        </w:rPr>
        <w:t xml:space="preserve">The three channels are remarkably balanced — all within 3.5% of each other in revenue contribution. This is a healthy sign of channel diversification. Notably, while In-Store generates the highest raw revenue, Mobile App and Online generate proportionally higher profit — suggesting lower fulfilment costs in digital channels.</w:t>
      </w:r>
    </w:p>
    <w:p>
      <w:pPr>
        <w:spacing w:after="0" w:before="140"/>
      </w:pPr>
      <w:r>
        <w:t xml:space="preserve"/>
      </w:r>
    </w:p>
    <w:p>
      <w:pPr>
        <w:pStyle w:val="Heading2"/>
        <w:spacing w:after="100" w:before="240"/>
      </w:pPr>
      <w:r>
        <w:rPr>
          <w:rFonts w:ascii="Arial" w:cs="Arial" w:eastAsia="Arial" w:hAnsi="Arial"/>
          <w:b/>
          <w:bCs/>
          <w:color w:val="1565C0"/>
          <w:sz w:val="26"/>
          <w:szCs w:val="26"/>
        </w:rPr>
        <w:t xml:space="preserve">6.2  Payment Method Insights</w:t>
      </w:r>
    </w:p>
    <w:p>
      <w:pPr>
        <w:pStyle w:val="ListParagraph"/>
        <w:numPr>
          <w:ilvl w:val="0"/>
          <w:numId w:val="2"/>
        </w:numPr>
        <w:spacing w:after="60" w:before="60"/>
      </w:pPr>
      <w:r>
        <w:rPr>
          <w:rFonts w:ascii="Arial" w:cs="Arial" w:eastAsia="Arial" w:hAnsi="Arial"/>
          <w:b w:val="false"/>
          <w:bCs w:val="false"/>
          <w:color w:val="1A1A2E"/>
          <w:sz w:val="22"/>
          <w:szCs w:val="22"/>
        </w:rPr>
        <w:t xml:space="preserve">Card payments dominate in West and Central — the highest-performing regions — reflecting an urban, banked customer base</w:t>
      </w:r>
    </w:p>
    <w:p>
      <w:pPr>
        <w:pStyle w:val="ListParagraph"/>
        <w:numPr>
          <w:ilvl w:val="0"/>
          <w:numId w:val="2"/>
        </w:numPr>
        <w:spacing w:after="60" w:before="60"/>
      </w:pPr>
      <w:r>
        <w:rPr>
          <w:rFonts w:ascii="Arial" w:cs="Arial" w:eastAsia="Arial" w:hAnsi="Arial"/>
          <w:b w:val="false"/>
          <w:bCs w:val="false"/>
          <w:color w:val="1A1A2E"/>
          <w:sz w:val="22"/>
          <w:szCs w:val="22"/>
        </w:rPr>
        <w:t xml:space="preserve">Cash remains significant in Northern and Eastern cities, reflecting infrastructure gaps in POS and digital payment access</w:t>
      </w:r>
    </w:p>
    <w:p>
      <w:pPr>
        <w:pStyle w:val="ListParagraph"/>
        <w:numPr>
          <w:ilvl w:val="0"/>
          <w:numId w:val="2"/>
        </w:numPr>
        <w:spacing w:after="60" w:before="60"/>
      </w:pPr>
      <w:r>
        <w:rPr>
          <w:rFonts w:ascii="Arial" w:cs="Arial" w:eastAsia="Arial" w:hAnsi="Arial"/>
          <w:b w:val="false"/>
          <w:bCs w:val="false"/>
          <w:color w:val="1A1A2E"/>
          <w:sz w:val="22"/>
          <w:szCs w:val="22"/>
        </w:rPr>
        <w:t xml:space="preserve">POS usage is growing and appears consistently across all regions — indicating the infrastructure investment is working</w:t>
      </w:r>
    </w:p>
    <w:p>
      <w:pPr>
        <w:pStyle w:val="ListParagraph"/>
        <w:numPr>
          <w:ilvl w:val="0"/>
          <w:numId w:val="2"/>
        </w:numPr>
        <w:spacing w:after="60" w:before="60"/>
      </w:pPr>
      <w:r>
        <w:rPr>
          <w:rFonts w:ascii="Arial" w:cs="Arial" w:eastAsia="Arial" w:hAnsi="Arial"/>
          <w:b w:val="false"/>
          <w:bCs w:val="false"/>
          <w:color w:val="1A1A2E"/>
          <w:sz w:val="22"/>
          <w:szCs w:val="22"/>
        </w:rPr>
        <w:t xml:space="preserve">Bank Transfer is the least preferred method across all regions — likely due to slower processing times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006978" w:val="clear"/>
          </w:tcPr>
          <w:p>
            <w:r>
              <w:t xml:space="preserve"/>
            </w:r>
          </w:p>
        </w:tc>
        <w:tc>
          <w:tcPr>
            <w:tcW w:type="dxa" w:w="9200"/>
            <w:tcBorders>
              <w:top w:val="single" w:color="EEEEEE" w:sz="4"/>
              <w:left w:val="none" w:color="FFFFFF" w:sz="0"/>
              <w:bottom w:val="single" w:color="EEEEEE" w:sz="4"/>
              <w:right w:val="none" w:color="FFFFFF" w:sz="0"/>
            </w:tcBorders>
            <w:shd w:fill="F1F5F9" w:val="clear"/>
            <w:tcMar>
              <w:top w:type="dxa" w:w="120"/>
              <w:left w:type="dxa" w:w="160"/>
              <w:bottom w:type="dxa" w:w="120"/>
              <w:right w:type="dxa" w:w="120"/>
            </w:tcMar>
          </w:tcPr>
          <w:p>
            <w:pPr>
              <w:spacing w:after="80" w:before="0"/>
            </w:pPr>
            <w:r>
              <w:rPr>
                <w:rFonts w:ascii="Arial" w:cs="Arial" w:eastAsia="Arial" w:hAnsi="Arial"/>
                <w:b/>
                <w:bCs/>
                <w:color w:val="006978"/>
                <w:sz w:val="24"/>
                <w:szCs w:val="24"/>
              </w:rPr>
              <w:t xml:space="preserve">💳  Payment Infrastructure Opportunity</w:t>
            </w:r>
          </w:p>
          <w:p>
            <w:pPr>
              <w:spacing w:after="0" w:before="0"/>
            </w:pPr>
            <w:r>
              <w:rPr>
                <w:rFonts w:ascii="Arial" w:cs="Arial" w:eastAsia="Arial" w:hAnsi="Arial"/>
                <w:color w:val="1A1A2E"/>
                <w:sz w:val="21"/>
                <w:szCs w:val="21"/>
              </w:rPr>
              <w:t xml:space="preserve">Investing in POS infrastructure and mobile payment incentives in the North and East regions could shift a significant portion of cash transactions to digital — reducing cash-handling costs, improving transaction speed, and capturing better transaction data for future analysis.</w:t>
            </w:r>
          </w:p>
        </w:tc>
      </w:tr>
    </w:tbl>
    <w:p>
      <w:r>
        <w:br w:type="page"/>
      </w:r>
    </w:p>
    <w:p>
      <w:pPr>
        <w:pStyle w:val="Heading1"/>
        <w:pBdr>
          <w:bottom w:val="single" w:color="1565C0" w:sz="6"/>
        </w:pBdr>
        <w:spacing w:after="160" w:before="320"/>
      </w:pPr>
      <w:r>
        <w:rPr>
          <w:rFonts w:ascii="Arial" w:cs="Arial" w:eastAsia="Arial" w:hAnsi="Arial"/>
          <w:b/>
          <w:bCs/>
          <w:color w:val="1E2761"/>
          <w:sz w:val="32"/>
          <w:szCs w:val="32"/>
        </w:rPr>
        <w:t xml:space="preserve">7.  Time Trends and Seasonality</w:t>
      </w:r>
    </w:p>
    <w:p>
      <w:pPr>
        <w:pStyle w:val="Heading2"/>
        <w:spacing w:after="100" w:before="240"/>
      </w:pPr>
      <w:r>
        <w:rPr>
          <w:rFonts w:ascii="Arial" w:cs="Arial" w:eastAsia="Arial" w:hAnsi="Arial"/>
          <w:b/>
          <w:bCs/>
          <w:color w:val="1565C0"/>
          <w:sz w:val="26"/>
          <w:szCs w:val="26"/>
        </w:rPr>
        <w:t xml:space="preserve">7.1  Year-over-Year Comparison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2433"/>
        <w:gridCol w:w="2433"/>
        <w:gridCol w:w="2433"/>
      </w:tblGrid>
      <w:tr>
        <w:trPr>
          <w:tblHeader/>
        </w:trPr>
        <w:tc>
          <w:tcPr>
            <w:tcW w:type="dxa" w:w="2059"/>
            <w:tcBorders>
              <w:top w:val="single" w:color="1E2761" w:sz="4"/>
              <w:left w:val="single" w:color="1E2761" w:sz="4"/>
              <w:bottom w:val="single" w:color="1E2761" w:sz="4"/>
              <w:right w:val="single" w:color="1E2761" w:sz="4"/>
            </w:tcBorders>
            <w:shd w:fill="1E2761"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Metric</w:t>
            </w:r>
          </w:p>
        </w:tc>
        <w:tc>
          <w:tcPr>
            <w:tcW w:type="dxa" w:w="2433"/>
            <w:tcBorders>
              <w:top w:val="single" w:color="1E2761" w:sz="4"/>
              <w:left w:val="single" w:color="1E2761" w:sz="4"/>
              <w:bottom w:val="single" w:color="1E2761" w:sz="4"/>
              <w:right w:val="single" w:color="1E2761" w:sz="4"/>
            </w:tcBorders>
            <w:shd w:fill="1E2761"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2023</w:t>
            </w:r>
          </w:p>
        </w:tc>
        <w:tc>
          <w:tcPr>
            <w:tcW w:type="dxa" w:w="2433"/>
            <w:tcBorders>
              <w:top w:val="single" w:color="1E2761" w:sz="4"/>
              <w:left w:val="single" w:color="1E2761" w:sz="4"/>
              <w:bottom w:val="single" w:color="1E2761" w:sz="4"/>
              <w:right w:val="single" w:color="1E2761" w:sz="4"/>
            </w:tcBorders>
            <w:shd w:fill="1E2761"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2024</w:t>
            </w:r>
          </w:p>
        </w:tc>
        <w:tc>
          <w:tcPr>
            <w:tcW w:type="dxa" w:w="2433"/>
            <w:tcBorders>
              <w:top w:val="single" w:color="1E2761" w:sz="4"/>
              <w:left w:val="single" w:color="1E2761" w:sz="4"/>
              <w:bottom w:val="single" w:color="1E2761" w:sz="4"/>
              <w:right w:val="single" w:color="1E2761" w:sz="4"/>
            </w:tcBorders>
            <w:shd w:fill="1E2761"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Change</w:t>
            </w:r>
          </w:p>
        </w:tc>
      </w:tr>
      <w:tr>
        <w:tc>
          <w:tcPr>
            <w:tcW w:type="dxa" w:w="2059"/>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bCs/>
                <w:color w:val="1A1A2E"/>
                <w:sz w:val="20"/>
                <w:szCs w:val="20"/>
              </w:rPr>
              <w:t xml:space="preserve">Total Revenue</w:t>
            </w:r>
          </w:p>
        </w:tc>
        <w:tc>
          <w:tcPr>
            <w:tcW w:type="dxa" w:w="2433"/>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~₦1.0bn</w:t>
            </w:r>
          </w:p>
        </w:tc>
        <w:tc>
          <w:tcPr>
            <w:tcW w:type="dxa" w:w="2433"/>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~₦1.14bn</w:t>
            </w:r>
          </w:p>
        </w:tc>
        <w:tc>
          <w:tcPr>
            <w:tcW w:type="dxa" w:w="2433"/>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 Growing</w:t>
            </w:r>
          </w:p>
        </w:tc>
      </w:tr>
      <w:tr>
        <w:tc>
          <w:tcPr>
            <w:tcW w:type="dxa" w:w="2059"/>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bCs/>
                <w:color w:val="1A1A2E"/>
                <w:sz w:val="20"/>
                <w:szCs w:val="20"/>
              </w:rPr>
              <w:t xml:space="preserve">Total Profit</w:t>
            </w:r>
          </w:p>
        </w:tc>
        <w:tc>
          <w:tcPr>
            <w:tcW w:type="dxa" w:w="2433"/>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~₦430M</w:t>
            </w:r>
          </w:p>
        </w:tc>
        <w:tc>
          <w:tcPr>
            <w:tcW w:type="dxa" w:w="2433"/>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~₦480M</w:t>
            </w:r>
          </w:p>
        </w:tc>
        <w:tc>
          <w:tcPr>
            <w:tcW w:type="dxa" w:w="2433"/>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 Growing</w:t>
            </w:r>
          </w:p>
        </w:tc>
      </w:tr>
      <w:tr>
        <w:tc>
          <w:tcPr>
            <w:tcW w:type="dxa" w:w="2059"/>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bCs/>
                <w:color w:val="1A1A2E"/>
                <w:sz w:val="20"/>
                <w:szCs w:val="20"/>
              </w:rPr>
              <w:t xml:space="preserve">Peak Month</w:t>
            </w:r>
          </w:p>
        </w:tc>
        <w:tc>
          <w:tcPr>
            <w:tcW w:type="dxa" w:w="2433"/>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August</w:t>
            </w:r>
          </w:p>
        </w:tc>
        <w:tc>
          <w:tcPr>
            <w:tcW w:type="dxa" w:w="2433"/>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July</w:t>
            </w:r>
          </w:p>
        </w:tc>
        <w:tc>
          <w:tcPr>
            <w:tcW w:type="dxa" w:w="2433"/>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Slight seasonal shift</w:t>
            </w:r>
          </w:p>
        </w:tc>
      </w:tr>
      <w:tr>
        <w:tc>
          <w:tcPr>
            <w:tcW w:type="dxa" w:w="2059"/>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bCs/>
                <w:color w:val="1A1A2E"/>
                <w:sz w:val="20"/>
                <w:szCs w:val="20"/>
              </w:rPr>
              <w:t xml:space="preserve">Weakest Month</w:t>
            </w:r>
          </w:p>
        </w:tc>
        <w:tc>
          <w:tcPr>
            <w:tcW w:type="dxa" w:w="2433"/>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February</w:t>
            </w:r>
          </w:p>
        </w:tc>
        <w:tc>
          <w:tcPr>
            <w:tcW w:type="dxa" w:w="2433"/>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February</w:t>
            </w:r>
          </w:p>
        </w:tc>
        <w:tc>
          <w:tcPr>
            <w:tcW w:type="dxa" w:w="2433"/>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Consistent — no change</w:t>
            </w:r>
          </w:p>
        </w:tc>
      </w:tr>
    </w:tbl>
    <w:p>
      <w:pPr>
        <w:spacing w:after="0" w:before="100"/>
      </w:pPr>
      <w:r>
        <w:t xml:space="preserve"/>
      </w:r>
    </w:p>
    <w:p>
      <w:pPr>
        <w:pStyle w:val="Heading2"/>
        <w:spacing w:after="100" w:before="240"/>
      </w:pPr>
      <w:r>
        <w:rPr>
          <w:rFonts w:ascii="Arial" w:cs="Arial" w:eastAsia="Arial" w:hAnsi="Arial"/>
          <w:b/>
          <w:bCs/>
          <w:color w:val="1565C0"/>
          <w:sz w:val="26"/>
          <w:szCs w:val="26"/>
        </w:rPr>
        <w:t xml:space="preserve">7.2  Key Seasonal Patterns</w:t>
      </w:r>
    </w:p>
    <w:p>
      <w:pPr>
        <w:pStyle w:val="ListParagraph"/>
        <w:numPr>
          <w:ilvl w:val="0"/>
          <w:numId w:val="2"/>
        </w:numPr>
        <w:spacing w:after="60" w:before="60"/>
      </w:pPr>
      <w:r>
        <w:rPr>
          <w:rFonts w:ascii="Arial" w:cs="Arial" w:eastAsia="Arial" w:hAnsi="Arial"/>
          <w:b w:val="false"/>
          <w:bCs w:val="false"/>
          <w:color w:val="1A1A2E"/>
          <w:sz w:val="22"/>
          <w:szCs w:val="22"/>
        </w:rPr>
        <w:t xml:space="preserve">Q3 is consistently the strongest quarter in both years — August and September record the highest monthly revenues</w:t>
      </w:r>
    </w:p>
    <w:p>
      <w:pPr>
        <w:pStyle w:val="ListParagraph"/>
        <w:numPr>
          <w:ilvl w:val="0"/>
          <w:numId w:val="2"/>
        </w:numPr>
        <w:spacing w:after="60" w:before="60"/>
      </w:pPr>
      <w:r>
        <w:rPr>
          <w:rFonts w:ascii="Arial" w:cs="Arial" w:eastAsia="Arial" w:hAnsi="Arial"/>
          <w:b w:val="false"/>
          <w:bCs w:val="false"/>
          <w:color w:val="1A1A2E"/>
          <w:sz w:val="22"/>
          <w:szCs w:val="22"/>
        </w:rPr>
        <w:t xml:space="preserve">February is consistently the weakest month in both years — likely reflecting post-January budget tightening by consumers</w:t>
      </w:r>
    </w:p>
    <w:p>
      <w:pPr>
        <w:pStyle w:val="ListParagraph"/>
        <w:numPr>
          <w:ilvl w:val="0"/>
          <w:numId w:val="2"/>
        </w:numPr>
        <w:spacing w:after="60" w:before="60"/>
      </w:pPr>
      <w:r>
        <w:rPr>
          <w:rFonts w:ascii="Arial" w:cs="Arial" w:eastAsia="Arial" w:hAnsi="Arial"/>
          <w:b w:val="false"/>
          <w:bCs w:val="false"/>
          <w:color w:val="1A1A2E"/>
          <w:sz w:val="22"/>
          <w:szCs w:val="22"/>
        </w:rPr>
        <w:t xml:space="preserve">2024 outperforms 2023 in most months confirming year-over-year growth — the business is expanding</w:t>
      </w:r>
    </w:p>
    <w:p>
      <w:pPr>
        <w:pStyle w:val="ListParagraph"/>
        <w:numPr>
          <w:ilvl w:val="0"/>
          <w:numId w:val="2"/>
        </w:numPr>
        <w:spacing w:after="60" w:before="60"/>
      </w:pPr>
      <w:r>
        <w:rPr>
          <w:rFonts w:ascii="Arial" w:cs="Arial" w:eastAsia="Arial" w:hAnsi="Arial"/>
          <w:b w:val="false"/>
          <w:bCs w:val="false"/>
          <w:color w:val="1A1A2E"/>
          <w:sz w:val="22"/>
          <w:szCs w:val="22"/>
        </w:rPr>
        <w:t xml:space="preserve">November shows an unexpected dip in both 2023 and 2024 before recovering in December — this pattern requires investigation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D97706" w:val="clear"/>
          </w:tcPr>
          <w:p>
            <w:r>
              <w:t xml:space="preserve"/>
            </w:r>
          </w:p>
        </w:tc>
        <w:tc>
          <w:tcPr>
            <w:tcW w:type="dxa" w:w="9200"/>
            <w:tcBorders>
              <w:top w:val="single" w:color="EEEEEE" w:sz="4"/>
              <w:left w:val="none" w:color="FFFFFF" w:sz="0"/>
              <w:bottom w:val="single" w:color="EEEEEE" w:sz="4"/>
              <w:right w:val="none" w:color="FFFFFF" w:sz="0"/>
            </w:tcBorders>
            <w:shd w:fill="F1F5F9" w:val="clear"/>
            <w:tcMar>
              <w:top w:type="dxa" w:w="120"/>
              <w:left w:type="dxa" w:w="160"/>
              <w:bottom w:type="dxa" w:w="120"/>
              <w:right w:type="dxa" w:w="120"/>
            </w:tcMar>
          </w:tcPr>
          <w:p>
            <w:pPr>
              <w:spacing w:after="80" w:before="0"/>
            </w:pPr>
            <w:r>
              <w:rPr>
                <w:rFonts w:ascii="Arial" w:cs="Arial" w:eastAsia="Arial" w:hAnsi="Arial"/>
                <w:b/>
                <w:bCs/>
                <w:color w:val="D97706"/>
                <w:sz w:val="24"/>
                <w:szCs w:val="24"/>
              </w:rPr>
              <w:t xml:space="preserve">📅  Seasonal Strategy Recommendation</w:t>
            </w:r>
          </w:p>
          <w:p>
            <w:pPr>
              <w:spacing w:after="0" w:before="0"/>
            </w:pPr>
            <w:r>
              <w:rPr>
                <w:rFonts w:ascii="Arial" w:cs="Arial" w:eastAsia="Arial" w:hAnsi="Arial"/>
                <w:color w:val="1A1A2E"/>
                <w:sz w:val="21"/>
                <w:szCs w:val="21"/>
              </w:rPr>
              <w:t xml:space="preserve">The business should plan its highest marketing spend and stock levels for Q3 — July through September. February should be treated as a recovery month with targeted promotions to lift the consistent seasonal dip. The November pattern is the most urgent unexplained anomaly and should be investigated for supply chain, staffing, or demand-side causes.</w:t>
            </w:r>
          </w:p>
        </w:tc>
      </w:tr>
    </w:tbl>
    <w:p>
      <w:r>
        <w:br w:type="page"/>
      </w:r>
    </w:p>
    <w:p>
      <w:pPr>
        <w:pStyle w:val="Heading1"/>
        <w:pBdr>
          <w:bottom w:val="single" w:color="1565C0" w:sz="6"/>
        </w:pBdr>
        <w:spacing w:after="160" w:before="320"/>
      </w:pPr>
      <w:r>
        <w:rPr>
          <w:rFonts w:ascii="Arial" w:cs="Arial" w:eastAsia="Arial" w:hAnsi="Arial"/>
          <w:b/>
          <w:bCs/>
          <w:color w:val="1E2761"/>
          <w:sz w:val="32"/>
          <w:szCs w:val="32"/>
        </w:rPr>
        <w:t xml:space="preserve">8.  Recommendations and Next Steps</w:t>
      </w:r>
    </w:p>
    <w:p>
      <w:pPr>
        <w:spacing w:after="80" w:before="80"/>
      </w:pPr>
      <w:r>
        <w:rPr>
          <w:rFonts w:ascii="Arial" w:cs="Arial" w:eastAsia="Arial" w:hAnsi="Arial"/>
          <w:color w:val="1A1A2E"/>
          <w:sz w:val="22"/>
          <w:szCs w:val="22"/>
        </w:rPr>
        <w:t xml:space="preserve">Based on the findings across all five areas of analysis, the following five recommendations are presented in order of business priority.</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565C0"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01</w:t>
            </w:r>
          </w:p>
        </w:tc>
        <w:tc>
          <w:tcPr>
            <w:tcW w:type="dxa" w:w="8760"/>
            <w:tcBorders>
              <w:top w:val="single" w:color="EEEEEE" w:sz="4"/>
              <w:left w:val="none" w:color="FFFFFF" w:sz="0"/>
              <w:bottom w:val="single" w:color="EEEEEE" w:sz="4"/>
              <w:right w:val="none" w:color="FFFFFF" w:sz="0"/>
            </w:tcBorders>
            <w:shd w:fill="F1F5F9" w:val="clear"/>
            <w:tcMar>
              <w:top w:type="dxa" w:w="120"/>
              <w:left w:type="dxa" w:w="160"/>
              <w:bottom w:type="dxa" w:w="120"/>
              <w:right w:type="dxa" w:w="120"/>
            </w:tcMar>
          </w:tcPr>
          <w:p>
            <w:pPr>
              <w:spacing w:after="80" w:before="0"/>
            </w:pPr>
            <w:r>
              <w:rPr>
                <w:rFonts w:ascii="Arial" w:cs="Arial" w:eastAsia="Arial" w:hAnsi="Arial"/>
                <w:b/>
                <w:bCs/>
                <w:color w:val="1565C0"/>
                <w:sz w:val="24"/>
                <w:szCs w:val="24"/>
              </w:rPr>
              <w:t xml:space="preserve">Invest in South Region Growth — High Priority</w:t>
            </w:r>
          </w:p>
          <w:p>
            <w:pPr>
              <w:spacing w:after="0" w:before="0"/>
            </w:pPr>
            <w:r>
              <w:rPr>
                <w:rFonts w:ascii="Arial" w:cs="Arial" w:eastAsia="Arial" w:hAnsi="Arial"/>
                <w:color w:val="1A1A2E"/>
                <w:sz w:val="21"/>
                <w:szCs w:val="21"/>
              </w:rPr>
              <w:t xml:space="preserve">The South region ranks last in both sales and profit despite containing major commercial cities. Allocate a dedicated marketing budget for Port Harcourt and Benin City. Consider targeted regional promotions for Q3 2026 — the identified peak season. A 10–15% revenue uplift in the South region would add approximately ₦37–55M in annual profit.</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D97706"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02</w:t>
            </w:r>
          </w:p>
        </w:tc>
        <w:tc>
          <w:tcPr>
            <w:tcW w:type="dxa" w:w="8760"/>
            <w:tcBorders>
              <w:top w:val="single" w:color="EEEEEE" w:sz="4"/>
              <w:left w:val="none" w:color="FFFFFF" w:sz="0"/>
              <w:bottom w:val="single" w:color="EEEEEE" w:sz="4"/>
              <w:right w:val="none" w:color="FFFFFF" w:sz="0"/>
            </w:tcBorders>
            <w:shd w:fill="F1F5F9" w:val="clear"/>
            <w:tcMar>
              <w:top w:type="dxa" w:w="120"/>
              <w:left w:type="dxa" w:w="160"/>
              <w:bottom w:type="dxa" w:w="120"/>
              <w:right w:type="dxa" w:w="120"/>
            </w:tcMar>
          </w:tcPr>
          <w:p>
            <w:pPr>
              <w:spacing w:after="80" w:before="0"/>
            </w:pPr>
            <w:r>
              <w:rPr>
                <w:rFonts w:ascii="Arial" w:cs="Arial" w:eastAsia="Arial" w:hAnsi="Arial"/>
                <w:b/>
                <w:bCs/>
                <w:color w:val="D97706"/>
                <w:sz w:val="24"/>
                <w:szCs w:val="24"/>
              </w:rPr>
              <w:t xml:space="preserve">Protect Groceries or Exit It — Medium Priority</w:t>
            </w:r>
          </w:p>
          <w:p>
            <w:pPr>
              <w:spacing w:after="0" w:before="0"/>
            </w:pPr>
            <w:r>
              <w:rPr>
                <w:rFonts w:ascii="Arial" w:cs="Arial" w:eastAsia="Arial" w:hAnsi="Arial"/>
                <w:color w:val="1A1A2E"/>
                <w:sz w:val="21"/>
                <w:szCs w:val="21"/>
              </w:rPr>
              <w:t xml:space="preserve">Groceries delivers healthy margins but extremely low revenue. The category contributes less than 5% of total revenue. Either invest in bundled promotions to grow transaction volumes, or reduce shelf space and redirect resources to Furniture and Sports which deliver 10x the revenue. A clear decision is needed within the next quarter.</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06978"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03</w:t>
            </w:r>
          </w:p>
        </w:tc>
        <w:tc>
          <w:tcPr>
            <w:tcW w:type="dxa" w:w="8760"/>
            <w:tcBorders>
              <w:top w:val="single" w:color="EEEEEE" w:sz="4"/>
              <w:left w:val="none" w:color="FFFFFF" w:sz="0"/>
              <w:bottom w:val="single" w:color="EEEEEE" w:sz="4"/>
              <w:right w:val="none" w:color="FFFFFF" w:sz="0"/>
            </w:tcBorders>
            <w:shd w:fill="F1F5F9" w:val="clear"/>
            <w:tcMar>
              <w:top w:type="dxa" w:w="120"/>
              <w:left w:type="dxa" w:w="160"/>
              <w:bottom w:type="dxa" w:w="120"/>
              <w:right w:type="dxa" w:w="120"/>
            </w:tcMar>
          </w:tcPr>
          <w:p>
            <w:pPr>
              <w:spacing w:after="80" w:before="0"/>
            </w:pPr>
            <w:r>
              <w:rPr>
                <w:rFonts w:ascii="Arial" w:cs="Arial" w:eastAsia="Arial" w:hAnsi="Arial"/>
                <w:b/>
                <w:bCs/>
                <w:color w:val="006978"/>
                <w:sz w:val="24"/>
                <w:szCs w:val="24"/>
              </w:rPr>
              <w:t xml:space="preserve">Maintain Current Discount Policy — Low Urgency</w:t>
            </w:r>
          </w:p>
          <w:p>
            <w:pPr>
              <w:spacing w:after="0" w:before="0"/>
            </w:pPr>
            <w:r>
              <w:rPr>
                <w:rFonts w:ascii="Arial" w:cs="Arial" w:eastAsia="Arial" w:hAnsi="Arial"/>
                <w:color w:val="1A1A2E"/>
                <w:sz w:val="21"/>
                <w:szCs w:val="21"/>
              </w:rPr>
              <w:t xml:space="preserve">Discounts are not hurting margins. The 0–20% discount structure is sustainable. However, introduce a cap of 15% specifically for the Sports category where the 15% discount level shows the only notable margin dip at 38.99%. No other changes to discount policy are required.</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0B981"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04</w:t>
            </w:r>
          </w:p>
        </w:tc>
        <w:tc>
          <w:tcPr>
            <w:tcW w:type="dxa" w:w="8760"/>
            <w:tcBorders>
              <w:top w:val="single" w:color="EEEEEE" w:sz="4"/>
              <w:left w:val="none" w:color="FFFFFF" w:sz="0"/>
              <w:bottom w:val="single" w:color="EEEEEE" w:sz="4"/>
              <w:right w:val="none" w:color="FFFFFF" w:sz="0"/>
            </w:tcBorders>
            <w:shd w:fill="F1F5F9" w:val="clear"/>
            <w:tcMar>
              <w:top w:type="dxa" w:w="120"/>
              <w:left w:type="dxa" w:w="160"/>
              <w:bottom w:type="dxa" w:w="120"/>
              <w:right w:type="dxa" w:w="120"/>
            </w:tcMar>
          </w:tcPr>
          <w:p>
            <w:pPr>
              <w:spacing w:after="80" w:before="0"/>
            </w:pPr>
            <w:r>
              <w:rPr>
                <w:rFonts w:ascii="Arial" w:cs="Arial" w:eastAsia="Arial" w:hAnsi="Arial"/>
                <w:b/>
                <w:bCs/>
                <w:color w:val="10B981"/>
                <w:sz w:val="24"/>
                <w:szCs w:val="24"/>
              </w:rPr>
              <w:t xml:space="preserve">Digitalise Payments in North and East — Medium Priority</w:t>
            </w:r>
          </w:p>
          <w:p>
            <w:pPr>
              <w:spacing w:after="0" w:before="0"/>
            </w:pPr>
            <w:r>
              <w:rPr>
                <w:rFonts w:ascii="Arial" w:cs="Arial" w:eastAsia="Arial" w:hAnsi="Arial"/>
                <w:color w:val="1A1A2E"/>
                <w:sz w:val="21"/>
                <w:szCs w:val="21"/>
              </w:rPr>
              <w:t xml:space="preserve">Invest in POS machine rollout and mobile transfer incentives specifically for Northern and Eastern cities. This will reduce cash-handling costs, improve transaction speed, and generate better digital data for future analysis. Target a 30% reduction in cash transactions in these regions within 12 months.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DC2626"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05</w:t>
            </w:r>
          </w:p>
        </w:tc>
        <w:tc>
          <w:tcPr>
            <w:tcW w:type="dxa" w:w="8760"/>
            <w:tcBorders>
              <w:top w:val="single" w:color="EEEEEE" w:sz="4"/>
              <w:left w:val="none" w:color="FFFFFF" w:sz="0"/>
              <w:bottom w:val="single" w:color="EEEEEE" w:sz="4"/>
              <w:right w:val="none" w:color="FFFFFF" w:sz="0"/>
            </w:tcBorders>
            <w:shd w:fill="F1F5F9" w:val="clear"/>
            <w:tcMar>
              <w:top w:type="dxa" w:w="120"/>
              <w:left w:type="dxa" w:w="160"/>
              <w:bottom w:type="dxa" w:w="120"/>
              <w:right w:type="dxa" w:w="120"/>
            </w:tcMar>
          </w:tcPr>
          <w:p>
            <w:pPr>
              <w:spacing w:after="80" w:before="0"/>
            </w:pPr>
            <w:r>
              <w:rPr>
                <w:rFonts w:ascii="Arial" w:cs="Arial" w:eastAsia="Arial" w:hAnsi="Arial"/>
                <w:b/>
                <w:bCs/>
                <w:color w:val="DC2626"/>
                <w:sz w:val="24"/>
                <w:szCs w:val="24"/>
              </w:rPr>
              <w:t xml:space="preserve">Investigate the November Sales Dip — Immediate Action</w:t>
            </w:r>
          </w:p>
          <w:p>
            <w:pPr>
              <w:spacing w:after="0" w:before="0"/>
            </w:pPr>
            <w:r>
              <w:rPr>
                <w:rFonts w:ascii="Arial" w:cs="Arial" w:eastAsia="Arial" w:hAnsi="Arial"/>
                <w:color w:val="1A1A2E"/>
                <w:sz w:val="21"/>
                <w:szCs w:val="21"/>
              </w:rPr>
              <w:t xml:space="preserve">A consistent November dip appears in both 2023 and 2024 with no obvious explanation. This must be investigated before November 2026. Potential causes include a supply chain gap, a marketing spending pause, a competitor promotion period, or a demand-side pattern tied to school fees or end-of-year budget cuts. Understanding this pattern could unlock a significant revenue recovery.</w:t>
            </w:r>
          </w:p>
        </w:tc>
      </w:tr>
    </w:tbl>
    <w:p>
      <w:r>
        <w:br w:type="page"/>
      </w:r>
    </w:p>
    <w:p>
      <w:pPr>
        <w:pStyle w:val="Heading1"/>
        <w:pBdr>
          <w:bottom w:val="single" w:color="1565C0" w:sz="6"/>
        </w:pBdr>
        <w:spacing w:after="160" w:before="320"/>
      </w:pPr>
      <w:r>
        <w:rPr>
          <w:rFonts w:ascii="Arial" w:cs="Arial" w:eastAsia="Arial" w:hAnsi="Arial"/>
          <w:b/>
          <w:bCs/>
          <w:color w:val="1E2761"/>
          <w:sz w:val="32"/>
          <w:szCs w:val="32"/>
        </w:rPr>
        <w:t xml:space="preserve">9.  Conclusion</w:t>
      </w:r>
    </w:p>
    <w:p>
      <w:pPr>
        <w:spacing w:after="80" w:before="80"/>
      </w:pPr>
      <w:r>
        <w:rPr>
          <w:rFonts w:ascii="Arial" w:cs="Arial" w:eastAsia="Arial" w:hAnsi="Arial"/>
          <w:color w:val="1A1A2E"/>
          <w:sz w:val="22"/>
          <w:szCs w:val="22"/>
        </w:rPr>
        <w:t xml:space="preserve">This analysis confirms that the business is fundamentally healthy and growing. A 42% average profit margin is sustainable, consistent, and competitive for a multi-category retail operation. Revenue grew year-over-year from 2023 to 2024, and no single category, region, or channel is experiencing a structural profitability problem.</w:t>
      </w:r>
    </w:p>
    <w:p>
      <w:pPr>
        <w:spacing w:after="0" w:before="80"/>
      </w:pPr>
      <w:r>
        <w:t xml:space="preserve"/>
      </w:r>
    </w:p>
    <w:p>
      <w:pPr>
        <w:spacing w:after="80" w:before="80"/>
      </w:pPr>
      <w:r>
        <w:rPr>
          <w:rFonts w:ascii="Arial" w:cs="Arial" w:eastAsia="Arial" w:hAnsi="Arial"/>
          <w:color w:val="1A1A2E"/>
          <w:sz w:val="22"/>
          <w:szCs w:val="22"/>
        </w:rPr>
        <w:t xml:space="preserve">The Finance Director's concern about margin erosion is understandable but not supported by the data. Margins are stable across all discount levels, all regions, and all product categories. If margin pressure exists at the company level, it is more likely the result of fixed cost growth not being matched by volume growth — a question that falls outside the scope of this dataset but warrants a separate financial review.</w:t>
      </w:r>
    </w:p>
    <w:p>
      <w:pPr>
        <w:spacing w:after="0" w:before="80"/>
      </w:pPr>
      <w:r>
        <w:t xml:space="preserve"/>
      </w:r>
    </w:p>
    <w:p>
      <w:pPr>
        <w:spacing w:after="80" w:before="80"/>
      </w:pPr>
      <w:r>
        <w:rPr>
          <w:rFonts w:ascii="Arial" w:cs="Arial" w:eastAsia="Arial" w:hAnsi="Arial"/>
          <w:color w:val="1A1A2E"/>
          <w:sz w:val="22"/>
          <w:szCs w:val="22"/>
        </w:rPr>
        <w:t xml:space="preserve">The five recommendations in Section 8 — particularly the South region growth strategy and the November investigation — represent the highest-value opportunities available to the business in the near term. Addressing these two items alone has the potential to deliver an estimated ₦50–80M in additional annual profit based on current margin rates.</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1E2761" w:val="clear"/>
          </w:tcPr>
          <w:p>
            <w:r>
              <w:t xml:space="preserve"/>
            </w:r>
          </w:p>
        </w:tc>
        <w:tc>
          <w:tcPr>
            <w:tcW w:type="dxa" w:w="9200"/>
            <w:tcBorders>
              <w:top w:val="single" w:color="EEEEEE" w:sz="4"/>
              <w:left w:val="none" w:color="FFFFFF" w:sz="0"/>
              <w:bottom w:val="single" w:color="EEEEEE" w:sz="4"/>
              <w:right w:val="none" w:color="FFFFFF" w:sz="0"/>
            </w:tcBorders>
            <w:shd w:fill="F1F5F9" w:val="clear"/>
            <w:tcMar>
              <w:top w:type="dxa" w:w="120"/>
              <w:left w:type="dxa" w:w="160"/>
              <w:bottom w:type="dxa" w:w="120"/>
              <w:right w:type="dxa" w:w="120"/>
            </w:tcMar>
          </w:tcPr>
          <w:p>
            <w:pPr>
              <w:spacing w:after="80" w:before="0"/>
            </w:pPr>
            <w:r>
              <w:rPr>
                <w:rFonts w:ascii="Arial" w:cs="Arial" w:eastAsia="Arial" w:hAnsi="Arial"/>
                <w:b/>
                <w:bCs/>
                <w:color w:val="1E2761"/>
                <w:sz w:val="24"/>
                <w:szCs w:val="24"/>
              </w:rPr>
              <w:t xml:space="preserve">The Bottom Line</w:t>
            </w:r>
          </w:p>
          <w:p>
            <w:pPr>
              <w:spacing w:after="0" w:before="0"/>
            </w:pPr>
            <w:r>
              <w:rPr>
                <w:rFonts w:ascii="Arial" w:cs="Arial" w:eastAsia="Arial" w:hAnsi="Arial"/>
                <w:color w:val="1A1A2E"/>
                <w:sz w:val="21"/>
                <w:szCs w:val="21"/>
              </w:rPr>
              <w:t xml:space="preserve">We are profitable. We are growing. But we are leaving money on the table in the South region and we do not yet understand why November underperforms every year. These are the two most important things to fix.</w:t>
            </w:r>
          </w:p>
        </w:tc>
      </w:tr>
    </w:tbl>
    <w:p>
      <w:pPr>
        <w:spacing w:after="0" w:before="200"/>
      </w:pPr>
      <w:r>
        <w:t xml:space="preserve"/>
      </w:r>
    </w:p>
    <w:p>
      <w:pPr>
        <w:spacing w:after="80" w:before="0"/>
        <w:jc w:val="center"/>
      </w:pPr>
      <w:r>
        <w:rPr>
          <w:rFonts w:ascii="Arial" w:cs="Arial" w:eastAsia="Arial" w:hAnsi="Arial"/>
          <w:i/>
          <w:iCs/>
          <w:color w:val="64748B"/>
          <w:sz w:val="22"/>
          <w:szCs w:val="22"/>
        </w:rPr>
        <w:t xml:space="preserve">— End of Report —</w:t>
      </w:r>
    </w:p>
    <w:p>
      <w:pPr>
        <w:spacing w:after="0" w:before="0"/>
        <w:jc w:val="center"/>
      </w:pPr>
      <w:r>
        <w:rPr>
          <w:rFonts w:ascii="Arial" w:cs="Arial" w:eastAsia="Arial" w:hAnsi="Arial"/>
          <w:color w:val="64748B"/>
          <w:sz w:val="18"/>
          <w:szCs w:val="18"/>
        </w:rPr>
        <w:t xml:space="preserve">Data Analytics Team   |   April 2026   |   Confidential</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4748B"/>
        <w:sz w:val="18"/>
        <w:szCs w:val="18"/>
      </w:rPr>
      <w:t xml:space="preserve">Data Analytics Team   |   April 2026   |   Internal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none" w:color="FFFFFF" w:sz="0"/>
            <w:left w:val="none" w:color="FFFFFF" w:sz="0"/>
            <w:bottom w:val="single" w:color="1565C0" w:sz="4"/>
            <w:right w:val="none" w:color="FFFFFF" w:sz="0"/>
          </w:tcBorders>
        </w:tcPr>
        <w:p>
          <w:r>
            <w:rPr>
              <w:rFonts w:ascii="Arial" w:cs="Arial" w:eastAsia="Arial" w:hAnsi="Arial"/>
              <w:b/>
              <w:bCs/>
              <w:color w:val="1E2761"/>
              <w:sz w:val="18"/>
              <w:szCs w:val="18"/>
            </w:rPr>
            <w:t xml:space="preserve">Retail Sales Performance Analysis Report</w:t>
          </w:r>
        </w:p>
      </w:tc>
      <w:tc>
        <w:tcPr>
          <w:tcW w:type="dxa" w:w="3360"/>
          <w:tcBorders>
            <w:top w:val="none" w:color="FFFFFF" w:sz="0"/>
            <w:left w:val="none" w:color="FFFFFF" w:sz="0"/>
            <w:bottom w:val="single" w:color="1565C0" w:sz="4"/>
            <w:right w:val="none" w:color="FFFFFF" w:sz="0"/>
          </w:tcBorders>
        </w:tcPr>
        <w:p>
          <w:pPr>
            <w:jc w:val="right"/>
          </w:pPr>
          <w:r>
            <w:rPr>
              <w:rFonts w:ascii="Arial" w:cs="Arial" w:eastAsia="Arial" w:hAnsi="Arial"/>
              <w:color w:val="64748B"/>
              <w:sz w:val="18"/>
              <w:szCs w:val="18"/>
            </w:rPr>
            <w:t xml:space="preserve">April 2026   |   Confidential</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rPr>
        <w:rFonts w:ascii="Arial" w:cs="Arial" w:eastAsia="Arial" w:hAnsi="Arial"/>
        <w:color w:val="1565C0"/>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E2761"/>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1565C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2026-04-05T16:35:54.148Z</dcterms:created>
  <dcterms:modified xsi:type="dcterms:W3CDTF">2026-04-05T16:35:54.149Z</dcterms:modified>
</cp:coreProperties>
</file>

<file path=docProps/custom.xml><?xml version="1.0" encoding="utf-8"?>
<Properties xmlns="http://schemas.openxmlformats.org/officeDocument/2006/custom-properties" xmlns:vt="http://schemas.openxmlformats.org/officeDocument/2006/docPropsVTypes"/>
</file>