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EE" w:rsidRPr="00AB59F8" w:rsidRDefault="00BF7CEE" w:rsidP="00D056D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B59F8">
        <w:rPr>
          <w:rFonts w:ascii="Times New Roman" w:hAnsi="Times New Roman" w:cs="Times New Roman"/>
          <w:b/>
          <w:color w:val="000000" w:themeColor="text1"/>
        </w:rPr>
        <w:t xml:space="preserve">TITLE: </w:t>
      </w:r>
      <w:r w:rsidRPr="00AB59F8">
        <w:rPr>
          <w:rFonts w:ascii="Times New Roman" w:hAnsi="Times New Roman" w:cs="Times New Roman"/>
          <w:b/>
          <w:color w:val="000000" w:themeColor="text1"/>
        </w:rPr>
        <w:t>WOMEN’S AUTONOMY AND HEALTH-SEEKING BEHAVIOUR FOR UNDER-5 CHILDREN ACROSS GEOPOLITICAL ZONES IN NIGERIA</w:t>
      </w:r>
    </w:p>
    <w:p w:rsidR="00BF7CEE" w:rsidRPr="00AB59F8" w:rsidRDefault="00BF7CEE" w:rsidP="00D056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B59F8">
        <w:rPr>
          <w:rFonts w:ascii="Times New Roman" w:hAnsi="Times New Roman" w:cs="Times New Roman"/>
          <w:b/>
          <w:color w:val="000000" w:themeColor="text1"/>
        </w:rPr>
        <w:t xml:space="preserve">BROAD OBJECTIVE:  </w:t>
      </w:r>
    </w:p>
    <w:p w:rsidR="00BF7CEE" w:rsidRPr="00AB59F8" w:rsidRDefault="00BF7CEE" w:rsidP="00D056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B59F8">
        <w:rPr>
          <w:rFonts w:ascii="Times New Roman" w:hAnsi="Times New Roman" w:cs="Times New Roman"/>
          <w:color w:val="000000" w:themeColor="text1"/>
        </w:rPr>
        <w:t>The general objective of this study is to examine the relationship between</w:t>
      </w:r>
      <w:r w:rsidRPr="00AB59F8">
        <w:rPr>
          <w:rFonts w:ascii="Times New Roman" w:hAnsi="Times New Roman" w:cs="Times New Roman"/>
          <w:color w:val="000000" w:themeColor="text1"/>
        </w:rPr>
        <w:t xml:space="preserve"> </w:t>
      </w:r>
      <w:r w:rsidRPr="00AB59F8">
        <w:rPr>
          <w:rFonts w:ascii="Times New Roman" w:hAnsi="Times New Roman" w:cs="Times New Roman"/>
          <w:color w:val="000000" w:themeColor="text1"/>
        </w:rPr>
        <w:t>women’s autonomy</w:t>
      </w:r>
      <w:r w:rsidRPr="00AB59F8">
        <w:rPr>
          <w:rFonts w:ascii="Times New Roman" w:hAnsi="Times New Roman" w:cs="Times New Roman"/>
          <w:color w:val="000000" w:themeColor="text1"/>
        </w:rPr>
        <w:t xml:space="preserve"> </w:t>
      </w:r>
      <w:r w:rsidRPr="00AB59F8">
        <w:rPr>
          <w:rFonts w:ascii="Times New Roman" w:hAnsi="Times New Roman" w:cs="Times New Roman"/>
          <w:color w:val="000000" w:themeColor="text1"/>
        </w:rPr>
        <w:t>in the household and health-seeking behaviorsforUnder-5 Children in Nigeria.</w:t>
      </w:r>
    </w:p>
    <w:p w:rsidR="00BF7CEE" w:rsidRPr="00AB59F8" w:rsidRDefault="00BF7CEE" w:rsidP="00D056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B59F8">
        <w:rPr>
          <w:rFonts w:ascii="Times New Roman" w:hAnsi="Times New Roman" w:cs="Times New Roman"/>
          <w:b/>
          <w:color w:val="000000" w:themeColor="text1"/>
        </w:rPr>
        <w:t>Specific Objectives:</w:t>
      </w:r>
    </w:p>
    <w:p w:rsidR="00BF7CEE" w:rsidRPr="00AB59F8" w:rsidRDefault="008D4FA4" w:rsidP="00D056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B59F8">
        <w:rPr>
          <w:rFonts w:ascii="Times New Roman" w:hAnsi="Times New Roman" w:cs="Times New Roman"/>
          <w:color w:val="000000" w:themeColor="text1"/>
        </w:rPr>
        <w:t xml:space="preserve">The </w:t>
      </w:r>
      <w:r w:rsidR="00BF7CEE" w:rsidRPr="00AB59F8">
        <w:rPr>
          <w:rFonts w:ascii="Times New Roman" w:hAnsi="Times New Roman" w:cs="Times New Roman"/>
          <w:color w:val="000000" w:themeColor="text1"/>
        </w:rPr>
        <w:t>specific objectives are to:</w:t>
      </w:r>
    </w:p>
    <w:p w:rsidR="00BF7CEE" w:rsidRPr="00AB59F8" w:rsidRDefault="00BF7CEE" w:rsidP="00D056D9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B59F8">
        <w:rPr>
          <w:rFonts w:ascii="Times New Roman" w:hAnsi="Times New Roman" w:cs="Times New Roman"/>
          <w:color w:val="000000" w:themeColor="text1"/>
        </w:rPr>
        <w:t>Describe the pattern of healthcare-seeking behavior for under-5 children across the geopolitical zones in Nigeria.</w:t>
      </w:r>
    </w:p>
    <w:p w:rsidR="00BF7CEE" w:rsidRPr="00AB59F8" w:rsidRDefault="00BF7CEE" w:rsidP="00D056D9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B59F8">
        <w:rPr>
          <w:rFonts w:ascii="Times New Roman" w:hAnsi="Times New Roman" w:cs="Times New Roman"/>
          <w:color w:val="000000" w:themeColor="text1"/>
        </w:rPr>
        <w:t>Examine</w:t>
      </w:r>
      <w:r w:rsidR="00E0101D" w:rsidRPr="00AB59F8">
        <w:rPr>
          <w:rFonts w:ascii="Times New Roman" w:hAnsi="Times New Roman" w:cs="Times New Roman"/>
          <w:color w:val="000000" w:themeColor="text1"/>
        </w:rPr>
        <w:t xml:space="preserve"> </w:t>
      </w:r>
      <w:r w:rsidRPr="00AB59F8">
        <w:rPr>
          <w:rFonts w:ascii="Times New Roman" w:hAnsi="Times New Roman" w:cs="Times New Roman"/>
          <w:color w:val="000000" w:themeColor="text1"/>
        </w:rPr>
        <w:t>the relationship between women’s autonomy and HSB for Under 5 children in each of the six geopolitical zones in Nigeria.</w:t>
      </w:r>
    </w:p>
    <w:p w:rsidR="00BF7CEE" w:rsidRPr="00AB59F8" w:rsidRDefault="00BF7CEE" w:rsidP="00D056D9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B59F8">
        <w:rPr>
          <w:rFonts w:ascii="Times New Roman" w:hAnsi="Times New Roman" w:cs="Times New Roman"/>
          <w:color w:val="000000" w:themeColor="text1"/>
        </w:rPr>
        <w:t>Identify factors that influence</w:t>
      </w:r>
      <w:r w:rsidR="00E0101D" w:rsidRPr="00AB59F8">
        <w:rPr>
          <w:rFonts w:ascii="Times New Roman" w:hAnsi="Times New Roman" w:cs="Times New Roman"/>
          <w:color w:val="000000" w:themeColor="text1"/>
        </w:rPr>
        <w:t xml:space="preserve"> </w:t>
      </w:r>
      <w:r w:rsidRPr="00AB59F8">
        <w:rPr>
          <w:rFonts w:ascii="Times New Roman" w:hAnsi="Times New Roman" w:cs="Times New Roman"/>
          <w:color w:val="000000" w:themeColor="text1"/>
        </w:rPr>
        <w:t>the relationship between women’s autonomy and HSB for Under 5 children in each of the six geopolitical zones in Nigeria.</w:t>
      </w:r>
    </w:p>
    <w:p w:rsidR="008D4FA4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b/>
          <w:color w:val="000000" w:themeColor="text1"/>
        </w:rPr>
        <w:t>OPERATIONAL TERMS</w:t>
      </w:r>
    </w:p>
    <w:p w:rsidR="00005B9E" w:rsidRPr="00AB59F8" w:rsidRDefault="006B3D87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b/>
          <w:color w:val="000000" w:themeColor="text1"/>
        </w:rPr>
        <w:t>INTERMEDIATE</w:t>
      </w:r>
      <w:r w:rsidR="00CE5260" w:rsidRPr="00AB59F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005B9E" w:rsidRPr="00AB59F8">
        <w:rPr>
          <w:rFonts w:ascii="Times New Roman" w:eastAsia="Times New Roman" w:hAnsi="Times New Roman" w:cs="Times New Roman"/>
          <w:b/>
          <w:color w:val="000000" w:themeColor="text1"/>
        </w:rPr>
        <w:t>VARIABLE</w:t>
      </w:r>
    </w:p>
    <w:p w:rsidR="00CE5260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b/>
          <w:color w:val="000000" w:themeColor="text1"/>
        </w:rPr>
        <w:t>WOMEN’S AUTONOMY</w:t>
      </w:r>
      <w:r w:rsidR="001123FC" w:rsidRPr="00AB59F8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In this study Women’s Autonomy is characterized by </w:t>
      </w:r>
    </w:p>
    <w:p w:rsidR="00CE5260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(1) </w:t>
      </w:r>
      <w:proofErr w:type="gramStart"/>
      <w:r w:rsidRPr="00AB59F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gramEnd"/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 ability to seek care for her health, </w:t>
      </w:r>
    </w:p>
    <w:p w:rsidR="00CE5260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(2) </w:t>
      </w:r>
      <w:proofErr w:type="gramStart"/>
      <w:r w:rsidRPr="00AB59F8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gramEnd"/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 ability</w:t>
      </w:r>
      <w:r w:rsidR="00CE5260" w:rsidRPr="00AB59F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to visit family or relations, </w:t>
      </w:r>
    </w:p>
    <w:p w:rsidR="00CE5260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(3) Be able to make decisions on Large/ Major </w:t>
      </w:r>
      <w:proofErr w:type="gramStart"/>
      <w:r w:rsidRPr="00AB59F8">
        <w:rPr>
          <w:rFonts w:ascii="Times New Roman" w:eastAsia="Times New Roman" w:hAnsi="Times New Roman" w:cs="Times New Roman"/>
          <w:color w:val="000000" w:themeColor="text1"/>
        </w:rPr>
        <w:t>purchases</w:t>
      </w:r>
      <w:proofErr w:type="gramEnd"/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 in the home, and, </w:t>
      </w:r>
    </w:p>
    <w:p w:rsidR="008D4FA4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(4) </w:t>
      </w:r>
      <w:proofErr w:type="gramStart"/>
      <w:r w:rsidRPr="00AB59F8">
        <w:rPr>
          <w:rFonts w:ascii="Times New Roman" w:eastAsia="Times New Roman" w:hAnsi="Times New Roman" w:cs="Times New Roman"/>
          <w:color w:val="000000" w:themeColor="text1"/>
        </w:rPr>
        <w:t>her</w:t>
      </w:r>
      <w:proofErr w:type="gramEnd"/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 ability to bargain for Sex.</w:t>
      </w:r>
    </w:p>
    <w:p w:rsidR="00152B17" w:rsidRPr="00AB59F8" w:rsidRDefault="00152B17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D4FA4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b/>
          <w:color w:val="000000" w:themeColor="text1"/>
        </w:rPr>
        <w:t xml:space="preserve">OUTCOME VARIABLE: </w:t>
      </w:r>
      <w:r w:rsidRPr="00AB59F8">
        <w:rPr>
          <w:rFonts w:ascii="Times New Roman" w:eastAsia="Times New Roman" w:hAnsi="Times New Roman" w:cs="Times New Roman"/>
          <w:b/>
          <w:color w:val="000000" w:themeColor="text1"/>
        </w:rPr>
        <w:t>HSB FOR UNDER-5 CHILDREN</w:t>
      </w:r>
    </w:p>
    <w:p w:rsidR="008D4FA4" w:rsidRPr="00AB59F8" w:rsidRDefault="008D4FA4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B59F8">
        <w:rPr>
          <w:rFonts w:ascii="Times New Roman" w:eastAsia="Times New Roman" w:hAnsi="Times New Roman" w:cs="Times New Roman"/>
          <w:color w:val="000000" w:themeColor="text1"/>
        </w:rPr>
        <w:t>The Health seeking behaviours will be computed and compressed to a dichotomous</w:t>
      </w:r>
      <w:r w:rsidR="00A83150" w:rsidRPr="00AB59F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variable coded into </w:t>
      </w:r>
      <w:r w:rsidR="00A83150" w:rsidRPr="00AB59F8">
        <w:rPr>
          <w:rFonts w:ascii="Times New Roman" w:eastAsia="Times New Roman" w:hAnsi="Times New Roman" w:cs="Times New Roman"/>
          <w:color w:val="000000" w:themeColor="text1"/>
        </w:rPr>
        <w:t>(</w:t>
      </w:r>
      <w:r w:rsidRPr="00AB59F8">
        <w:rPr>
          <w:rFonts w:ascii="Times New Roman" w:eastAsia="Times New Roman" w:hAnsi="Times New Roman" w:cs="Times New Roman"/>
          <w:color w:val="000000" w:themeColor="text1"/>
        </w:rPr>
        <w:t>1</w:t>
      </w:r>
      <w:r w:rsidR="00A83150" w:rsidRPr="00AB59F8">
        <w:rPr>
          <w:rFonts w:ascii="Times New Roman" w:eastAsia="Times New Roman" w:hAnsi="Times New Roman" w:cs="Times New Roman"/>
          <w:color w:val="000000" w:themeColor="text1"/>
        </w:rPr>
        <w:t>)</w:t>
      </w: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 if appropriate health-seeking was taken and </w:t>
      </w:r>
      <w:r w:rsidR="00A83150" w:rsidRPr="00AB59F8">
        <w:rPr>
          <w:rFonts w:ascii="Times New Roman" w:eastAsia="Times New Roman" w:hAnsi="Times New Roman" w:cs="Times New Roman"/>
          <w:color w:val="000000" w:themeColor="text1"/>
        </w:rPr>
        <w:t>(</w:t>
      </w:r>
      <w:r w:rsidRPr="00AB59F8">
        <w:rPr>
          <w:rFonts w:ascii="Times New Roman" w:eastAsia="Times New Roman" w:hAnsi="Times New Roman" w:cs="Times New Roman"/>
          <w:color w:val="000000" w:themeColor="text1"/>
        </w:rPr>
        <w:t>0</w:t>
      </w:r>
      <w:r w:rsidR="00A83150" w:rsidRPr="00AB59F8">
        <w:rPr>
          <w:rFonts w:ascii="Times New Roman" w:eastAsia="Times New Roman" w:hAnsi="Times New Roman" w:cs="Times New Roman"/>
          <w:color w:val="000000" w:themeColor="text1"/>
        </w:rPr>
        <w:t>)</w:t>
      </w:r>
      <w:r w:rsidRPr="00AB59F8">
        <w:rPr>
          <w:rFonts w:ascii="Times New Roman" w:eastAsia="Times New Roman" w:hAnsi="Times New Roman" w:cs="Times New Roman"/>
          <w:color w:val="000000" w:themeColor="text1"/>
        </w:rPr>
        <w:t xml:space="preserve"> if appropriate behavior or health-seeking was sought. This is formulated from the Section in the NDHS 2018 Questionnaire where any kind of advice or treatment options was sought and will be limited to 3 major Childhood illnesses, namely, Acute Respiratory Infections (ARI) – Cough, Fever, and Diarrhea, which was undertaken by the mother in seeking health for her sick Child, this was adapted from an NDHS publication of </w:t>
      </w:r>
      <w:proofErr w:type="spellStart"/>
      <w:r w:rsidRPr="00AB59F8">
        <w:rPr>
          <w:rFonts w:ascii="Times New Roman" w:eastAsia="Times New Roman" w:hAnsi="Times New Roman" w:cs="Times New Roman"/>
          <w:color w:val="000000" w:themeColor="text1"/>
        </w:rPr>
        <w:t>Budu</w:t>
      </w:r>
      <w:proofErr w:type="spellEnd"/>
      <w:r w:rsidRPr="00AB59F8">
        <w:rPr>
          <w:rFonts w:ascii="Times New Roman" w:eastAsia="Times New Roman" w:hAnsi="Times New Roman" w:cs="Times New Roman"/>
          <w:color w:val="000000" w:themeColor="text1"/>
        </w:rPr>
        <w:t>, E., et al 2021.</w:t>
      </w:r>
    </w:p>
    <w:p w:rsidR="001123FC" w:rsidRPr="00AB59F8" w:rsidRDefault="001123FC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1123FC" w:rsidRDefault="001123FC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D3540" w:rsidRDefault="00FD3540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D3540" w:rsidRDefault="00FD3540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D3540" w:rsidRPr="00AB59F8" w:rsidRDefault="00FD3540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5686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6"/>
        <w:gridCol w:w="3515"/>
        <w:gridCol w:w="4051"/>
        <w:gridCol w:w="2518"/>
      </w:tblGrid>
      <w:tr w:rsidR="00B22020" w:rsidRPr="00AB59F8" w:rsidTr="00DC035B">
        <w:trPr>
          <w:trHeight w:val="710"/>
        </w:trPr>
        <w:tc>
          <w:tcPr>
            <w:tcW w:w="370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lastRenderedPageBreak/>
              <w:t>S/N</w:t>
            </w:r>
          </w:p>
        </w:tc>
        <w:tc>
          <w:tcPr>
            <w:tcW w:w="1614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VARIABLES</w:t>
            </w:r>
          </w:p>
        </w:tc>
        <w:tc>
          <w:tcPr>
            <w:tcW w:w="1860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DEFINITION OF VARIABLES</w:t>
            </w:r>
          </w:p>
        </w:tc>
        <w:tc>
          <w:tcPr>
            <w:tcW w:w="1156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 xml:space="preserve">Variable code 2018 </w:t>
            </w:r>
            <w:proofErr w:type="spellStart"/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ndhs</w:t>
            </w:r>
            <w:proofErr w:type="spellEnd"/>
          </w:p>
        </w:tc>
      </w:tr>
      <w:tr w:rsidR="00B22020" w:rsidRPr="00AB59F8" w:rsidTr="00DC035B">
        <w:trPr>
          <w:trHeight w:val="388"/>
        </w:trPr>
        <w:tc>
          <w:tcPr>
            <w:tcW w:w="370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</w:p>
        </w:tc>
        <w:tc>
          <w:tcPr>
            <w:tcW w:w="1614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BACKGROUND CHARACTERISTICS</w:t>
            </w:r>
          </w:p>
        </w:tc>
        <w:tc>
          <w:tcPr>
            <w:tcW w:w="1860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</w:p>
        </w:tc>
        <w:tc>
          <w:tcPr>
            <w:tcW w:w="1156" w:type="pct"/>
            <w:tcBorders>
              <w:bottom w:val="thinThickSmallGap" w:sz="24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</w:p>
        </w:tc>
      </w:tr>
      <w:tr w:rsidR="00B22020" w:rsidRPr="00AB59F8" w:rsidTr="00FA7F07">
        <w:trPr>
          <w:trHeight w:val="360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1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Age (Current age of respondent at survey)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Range from 15 – 49 years, Grouped Ages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V013</w:t>
            </w:r>
          </w:p>
        </w:tc>
      </w:tr>
      <w:tr w:rsidR="00B22020" w:rsidRPr="00AB59F8" w:rsidTr="00FA7F07">
        <w:trPr>
          <w:trHeight w:val="314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2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Number of living/surviving children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Total Number Alive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V218</w:t>
            </w:r>
          </w:p>
        </w:tc>
      </w:tr>
      <w:tr w:rsidR="00B22020" w:rsidRPr="00AB59F8" w:rsidTr="00FA7F07">
        <w:trPr>
          <w:trHeight w:val="272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3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Income status of respondent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Wealth Index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V190</w:t>
            </w:r>
          </w:p>
        </w:tc>
      </w:tr>
      <w:tr w:rsidR="00B22020" w:rsidRPr="00AB59F8" w:rsidTr="00FA7F07">
        <w:trPr>
          <w:trHeight w:val="277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4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Highest Educational level of respondent 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None, primary, secondary, tertiary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V106</w:t>
            </w:r>
          </w:p>
        </w:tc>
      </w:tr>
      <w:tr w:rsidR="00B22020" w:rsidRPr="00AB59F8" w:rsidTr="00FA7F07">
        <w:trPr>
          <w:trHeight w:val="277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5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Occupation of respondent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Employed, self-employed, unemployed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V716</w:t>
            </w:r>
          </w:p>
        </w:tc>
      </w:tr>
      <w:tr w:rsidR="00B22020" w:rsidRPr="00AB59F8" w:rsidTr="00FA7F07">
        <w:trPr>
          <w:trHeight w:val="408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6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Religion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Christian, Muslim, others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V130</w:t>
            </w:r>
          </w:p>
        </w:tc>
      </w:tr>
      <w:tr w:rsidR="00B22020" w:rsidRPr="00AB59F8" w:rsidTr="00FA7F07">
        <w:trPr>
          <w:trHeight w:val="414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7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Type of marriage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Religious, traditional, registry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V501</w:t>
            </w:r>
          </w:p>
        </w:tc>
      </w:tr>
      <w:tr w:rsidR="00B22020" w:rsidRPr="00AB59F8" w:rsidTr="00FA7F07">
        <w:trPr>
          <w:trHeight w:val="421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8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Type of place of residence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Urban / Rural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V102</w:t>
            </w:r>
          </w:p>
        </w:tc>
      </w:tr>
      <w:tr w:rsidR="00B22020" w:rsidRPr="00AB59F8" w:rsidTr="00FA7F07">
        <w:trPr>
          <w:trHeight w:val="421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9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Ethnicity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Yoruba, Igbo, Hausa and Others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V131</w:t>
            </w:r>
          </w:p>
        </w:tc>
      </w:tr>
      <w:tr w:rsidR="006024AD" w:rsidRPr="00AB59F8" w:rsidTr="00FA7F07">
        <w:trPr>
          <w:trHeight w:val="261"/>
        </w:trPr>
        <w:tc>
          <w:tcPr>
            <w:tcW w:w="370" w:type="pct"/>
            <w:tcBorders>
              <w:bottom w:val="single" w:sz="18" w:space="0" w:color="auto"/>
            </w:tcBorders>
          </w:tcPr>
          <w:p w:rsidR="006024AD" w:rsidRPr="00AB59F8" w:rsidRDefault="006024A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S/N</w:t>
            </w:r>
          </w:p>
        </w:tc>
        <w:tc>
          <w:tcPr>
            <w:tcW w:w="1614" w:type="pct"/>
            <w:tcBorders>
              <w:bottom w:val="single" w:sz="18" w:space="0" w:color="auto"/>
            </w:tcBorders>
          </w:tcPr>
          <w:p w:rsidR="006024AD" w:rsidRPr="00AB59F8" w:rsidRDefault="006024A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VARIABLES</w:t>
            </w:r>
          </w:p>
        </w:tc>
        <w:tc>
          <w:tcPr>
            <w:tcW w:w="1860" w:type="pct"/>
            <w:tcBorders>
              <w:bottom w:val="single" w:sz="18" w:space="0" w:color="auto"/>
            </w:tcBorders>
          </w:tcPr>
          <w:p w:rsidR="006024AD" w:rsidRPr="00AB59F8" w:rsidRDefault="006024A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DEFINITION OF VARIABLES</w:t>
            </w:r>
          </w:p>
        </w:tc>
        <w:tc>
          <w:tcPr>
            <w:tcW w:w="1157" w:type="pct"/>
            <w:tcBorders>
              <w:bottom w:val="single" w:sz="18" w:space="0" w:color="auto"/>
            </w:tcBorders>
          </w:tcPr>
          <w:p w:rsidR="006024AD" w:rsidRPr="00AB59F8" w:rsidRDefault="006024A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VARIABLE CODE IN 2018 NDHS</w:t>
            </w:r>
          </w:p>
        </w:tc>
      </w:tr>
      <w:tr w:rsidR="00B22020" w:rsidRPr="00AB59F8" w:rsidTr="00FA7F07">
        <w:trPr>
          <w:trHeight w:val="421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10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Total no of children ever lost 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Nature of loss (illness, accident, etc)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V206, V207</w:t>
            </w:r>
          </w:p>
        </w:tc>
      </w:tr>
      <w:tr w:rsidR="00B22020" w:rsidRPr="00AB59F8" w:rsidTr="00FA7F07">
        <w:trPr>
          <w:trHeight w:val="421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11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Sex differentials of surviving children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Ratio of female to Male Children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V202-V205</w:t>
            </w:r>
          </w:p>
        </w:tc>
      </w:tr>
      <w:tr w:rsidR="00B22020" w:rsidRPr="00AB59F8" w:rsidTr="00FA7F07">
        <w:trPr>
          <w:trHeight w:val="421"/>
        </w:trPr>
        <w:tc>
          <w:tcPr>
            <w:tcW w:w="37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12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Parity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Birth order (BORD)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BIDX$01-20</w:t>
            </w:r>
          </w:p>
        </w:tc>
      </w:tr>
      <w:tr w:rsidR="00B22020" w:rsidRPr="00AB59F8" w:rsidTr="00FA7F07">
        <w:trPr>
          <w:trHeight w:val="421"/>
        </w:trPr>
        <w:tc>
          <w:tcPr>
            <w:tcW w:w="370" w:type="pct"/>
          </w:tcPr>
          <w:p w:rsidR="000D30F9" w:rsidRPr="00AB59F8" w:rsidRDefault="006024A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13</w:t>
            </w:r>
          </w:p>
        </w:tc>
        <w:tc>
          <w:tcPr>
            <w:tcW w:w="1614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REGION</w:t>
            </w:r>
          </w:p>
        </w:tc>
        <w:tc>
          <w:tcPr>
            <w:tcW w:w="1860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6 Geopolitical regions</w:t>
            </w:r>
          </w:p>
        </w:tc>
        <w:tc>
          <w:tcPr>
            <w:tcW w:w="1157" w:type="pct"/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V024, V101</w:t>
            </w:r>
          </w:p>
        </w:tc>
      </w:tr>
      <w:tr w:rsidR="00B22020" w:rsidRPr="00AB59F8" w:rsidTr="00FA7F07">
        <w:trPr>
          <w:trHeight w:val="261"/>
        </w:trPr>
        <w:tc>
          <w:tcPr>
            <w:tcW w:w="370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614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860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157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</w:tr>
      <w:tr w:rsidR="00DE3844" w:rsidRPr="00AB59F8" w:rsidTr="00FA7F07">
        <w:trPr>
          <w:trHeight w:val="261"/>
        </w:trPr>
        <w:tc>
          <w:tcPr>
            <w:tcW w:w="3843" w:type="pct"/>
            <w:gridSpan w:val="3"/>
            <w:tcBorders>
              <w:top w:val="single" w:sz="18" w:space="0" w:color="auto"/>
              <w:bottom w:val="single" w:sz="12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AUTONOMY OF THE MOTHER</w:t>
            </w:r>
            <w:r w:rsidR="006B3D87"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 xml:space="preserve"> (INTERMEDIATE VARIABLE)</w:t>
            </w:r>
          </w:p>
        </w:tc>
        <w:tc>
          <w:tcPr>
            <w:tcW w:w="1157" w:type="pct"/>
            <w:tcBorders>
              <w:top w:val="single" w:sz="18" w:space="0" w:color="auto"/>
              <w:bottom w:val="single" w:sz="12" w:space="0" w:color="auto"/>
            </w:tcBorders>
          </w:tcPr>
          <w:p w:rsidR="000D30F9" w:rsidRPr="00AB59F8" w:rsidRDefault="006B3D87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INDIVIDUAL RECODE</w:t>
            </w:r>
          </w:p>
        </w:tc>
      </w:tr>
      <w:tr w:rsidR="00B22020" w:rsidRPr="00AB59F8" w:rsidTr="00FA7F07">
        <w:trPr>
          <w:trHeight w:val="261"/>
        </w:trPr>
        <w:tc>
          <w:tcPr>
            <w:tcW w:w="370" w:type="pct"/>
            <w:tcBorders>
              <w:top w:val="single" w:sz="12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1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SEEK HEALTH CARE FOR SELF</w:t>
            </w:r>
          </w:p>
        </w:tc>
        <w:tc>
          <w:tcPr>
            <w:tcW w:w="1860" w:type="pct"/>
            <w:tcBorders>
              <w:top w:val="single" w:sz="12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Contraceptive/Reproductive, </w:t>
            </w:r>
          </w:p>
        </w:tc>
        <w:tc>
          <w:tcPr>
            <w:tcW w:w="1157" w:type="pct"/>
            <w:tcBorders>
              <w:top w:val="single" w:sz="12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V394, V467A</w:t>
            </w:r>
          </w:p>
        </w:tc>
      </w:tr>
      <w:tr w:rsidR="00B22020" w:rsidRPr="00AB59F8" w:rsidTr="00FA7F07">
        <w:trPr>
          <w:trHeight w:val="261"/>
        </w:trPr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2</w:t>
            </w:r>
          </w:p>
        </w:tc>
        <w:tc>
          <w:tcPr>
            <w:tcW w:w="1614" w:type="pct"/>
            <w:tcBorders>
              <w:top w:val="single" w:sz="8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VISIT FAMILY/RELATIVES</w:t>
            </w:r>
          </w:p>
        </w:tc>
        <w:tc>
          <w:tcPr>
            <w:tcW w:w="186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Visits without/with Consultation</w:t>
            </w:r>
          </w:p>
        </w:tc>
        <w:tc>
          <w:tcPr>
            <w:tcW w:w="115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V743D</w:t>
            </w:r>
          </w:p>
        </w:tc>
      </w:tr>
      <w:tr w:rsidR="00B22020" w:rsidRPr="00AB59F8" w:rsidTr="00FA7F07">
        <w:trPr>
          <w:trHeight w:val="261"/>
        </w:trPr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3</w:t>
            </w:r>
          </w:p>
        </w:tc>
        <w:tc>
          <w:tcPr>
            <w:tcW w:w="1614" w:type="pct"/>
            <w:tcBorders>
              <w:top w:val="single" w:sz="8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MAKE MAJOR PURCHASES</w:t>
            </w:r>
          </w:p>
        </w:tc>
        <w:tc>
          <w:tcPr>
            <w:tcW w:w="186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E.g. buys TV etc. without/with Consultation</w:t>
            </w:r>
          </w:p>
        </w:tc>
        <w:tc>
          <w:tcPr>
            <w:tcW w:w="115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V743B</w:t>
            </w:r>
          </w:p>
        </w:tc>
      </w:tr>
      <w:tr w:rsidR="00B22020" w:rsidRPr="00AB59F8" w:rsidTr="00FA7F07">
        <w:trPr>
          <w:trHeight w:val="261"/>
        </w:trPr>
        <w:tc>
          <w:tcPr>
            <w:tcW w:w="3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4</w:t>
            </w:r>
          </w:p>
        </w:tc>
        <w:tc>
          <w:tcPr>
            <w:tcW w:w="1614" w:type="pct"/>
            <w:tcBorders>
              <w:top w:val="single" w:sz="8" w:space="0" w:color="auto"/>
              <w:bottom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SEXUAL BARGAINING POWER</w:t>
            </w:r>
          </w:p>
        </w:tc>
        <w:tc>
          <w:tcPr>
            <w:tcW w:w="186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30F9" w:rsidRPr="00AB59F8" w:rsidRDefault="008C1F37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Refusal of</w:t>
            </w:r>
            <w:r w:rsidR="000D30F9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Sex </w:t>
            </w:r>
          </w:p>
        </w:tc>
        <w:tc>
          <w:tcPr>
            <w:tcW w:w="115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V850A </w:t>
            </w:r>
          </w:p>
        </w:tc>
      </w:tr>
      <w:tr w:rsidR="00DE3844" w:rsidRPr="00AB59F8" w:rsidTr="00FA7F07">
        <w:trPr>
          <w:trHeight w:val="261"/>
        </w:trPr>
        <w:tc>
          <w:tcPr>
            <w:tcW w:w="370" w:type="pct"/>
            <w:tcBorders>
              <w:top w:val="single" w:sz="12" w:space="0" w:color="auto"/>
              <w:bottom w:val="single" w:sz="12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3474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E17CB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RECODE </w:t>
            </w:r>
            <w:r w:rsidR="00DF19D7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WOMEN’S AUTONOMY 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INTO </w:t>
            </w:r>
            <w:r w:rsidR="00DF19D7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:</w:t>
            </w:r>
          </w:p>
          <w:p w:rsidR="00CE17CB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1 </w:t>
            </w:r>
            <w:r w:rsidR="00CE17CB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IF 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Participat</w:t>
            </w:r>
            <w:r w:rsidR="00CE17CB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es in all 4 decision making </w:t>
            </w:r>
            <w:r w:rsidR="00FA2EED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variables</w:t>
            </w:r>
          </w:p>
          <w:p w:rsidR="000D30F9" w:rsidRPr="00AB59F8" w:rsidRDefault="00CE17CB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lastRenderedPageBreak/>
              <w:t>2</w:t>
            </w:r>
            <w:r w:rsidR="000D30F9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if participates in none</w:t>
            </w:r>
            <w:r w:rsidR="00FA2EED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of the decision making Variables</w:t>
            </w:r>
          </w:p>
          <w:p w:rsidR="00CE17CB" w:rsidRPr="00AB59F8" w:rsidRDefault="00CE17CB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3 participates in 3 or less </w:t>
            </w:r>
            <w:r w:rsidR="00FA2EED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decision making variables</w:t>
            </w:r>
          </w:p>
        </w:tc>
        <w:tc>
          <w:tcPr>
            <w:tcW w:w="115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</w:tr>
      <w:tr w:rsidR="002057B4" w:rsidRPr="00AB59F8" w:rsidTr="00FA7F07">
        <w:trPr>
          <w:trHeight w:val="261"/>
        </w:trPr>
        <w:tc>
          <w:tcPr>
            <w:tcW w:w="370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</w:tcPr>
          <w:p w:rsidR="002057B4" w:rsidRPr="00AB59F8" w:rsidRDefault="002057B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3474" w:type="pct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2057B4" w:rsidRPr="00AB59F8" w:rsidRDefault="002057B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(PLEASE LIMIT TO INDIVIDUAL RECODE WHICH IS FOR LIVING CHILDREN)</w:t>
            </w:r>
          </w:p>
        </w:tc>
        <w:tc>
          <w:tcPr>
            <w:tcW w:w="1157" w:type="pct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2057B4" w:rsidRPr="00AB59F8" w:rsidRDefault="002057B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</w:tr>
      <w:tr w:rsidR="00DE3844" w:rsidRPr="00AB59F8" w:rsidTr="00FA7F07">
        <w:trPr>
          <w:trHeight w:val="375"/>
        </w:trPr>
        <w:tc>
          <w:tcPr>
            <w:tcW w:w="3843" w:type="pct"/>
            <w:gridSpan w:val="3"/>
            <w:tcBorders>
              <w:top w:val="single" w:sz="18" w:space="0" w:color="auto"/>
              <w:left w:val="single" w:sz="12" w:space="0" w:color="auto"/>
            </w:tcBorders>
          </w:tcPr>
          <w:p w:rsidR="001A5290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*HEALTH SEEKING BEHAVIOUR/PRACTICE FOR UNDER-5</w:t>
            </w:r>
            <w:r w:rsidR="009F736B"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 xml:space="preserve"> </w:t>
            </w:r>
          </w:p>
          <w:p w:rsidR="00620610" w:rsidRPr="00AB59F8" w:rsidRDefault="00620610" w:rsidP="0062061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Section in Recode Manual- Where do the variables go?</w:t>
            </w:r>
          </w:p>
          <w:p w:rsidR="000D30F9" w:rsidRPr="00AB59F8" w:rsidRDefault="00620610" w:rsidP="0062061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 xml:space="preserve"> Recoding of the DHS VII Core Questionnaire Variables to the DHS VII Standard Recode </w:t>
            </w:r>
          </w:p>
          <w:p w:rsidR="00FC7A7F" w:rsidRPr="00AB59F8" w:rsidRDefault="001A5290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Variables</w:t>
            </w:r>
            <w:r w:rsidR="007D7505" w:rsidRPr="00AB59F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C7A7F" w:rsidRPr="00AB59F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QWSEC06A = REC41 (cont.) : Child health and nutrition Page 11</w:t>
            </w:r>
          </w:p>
        </w:tc>
        <w:tc>
          <w:tcPr>
            <w:tcW w:w="1157" w:type="pct"/>
            <w:tcBorders>
              <w:top w:val="single" w:sz="18" w:space="0" w:color="auto"/>
              <w:right w:val="single" w:sz="12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</w:pPr>
          </w:p>
        </w:tc>
      </w:tr>
      <w:tr w:rsidR="00B22020" w:rsidRPr="00AB59F8" w:rsidTr="00FA7F07">
        <w:trPr>
          <w:trHeight w:val="261"/>
        </w:trPr>
        <w:tc>
          <w:tcPr>
            <w:tcW w:w="370" w:type="pct"/>
            <w:tcBorders>
              <w:top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1</w:t>
            </w:r>
          </w:p>
        </w:tc>
        <w:tc>
          <w:tcPr>
            <w:tcW w:w="1614" w:type="pct"/>
            <w:tcBorders>
              <w:top w:val="single" w:sz="18" w:space="0" w:color="auto"/>
            </w:tcBorders>
          </w:tcPr>
          <w:p w:rsidR="001C34DA" w:rsidRPr="00AB59F8" w:rsidRDefault="00D86B7C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Diarrhea</w:t>
            </w:r>
            <w:r w:rsidR="001C34DA"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 xml:space="preserve"> </w:t>
            </w:r>
          </w:p>
          <w:p w:rsidR="001C34DA" w:rsidRPr="00AB59F8" w:rsidRDefault="001C34DA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*Appropriate Health care is Sought and provided for Diarrhoea (1)</w:t>
            </w:r>
          </w:p>
          <w:p w:rsidR="001C34DA" w:rsidRPr="00AB59F8" w:rsidRDefault="001C34DA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Not Appropriate (0)</w:t>
            </w:r>
          </w:p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860" w:type="pct"/>
            <w:tcBorders>
              <w:top w:val="single" w:sz="18" w:space="0" w:color="auto"/>
            </w:tcBorders>
          </w:tcPr>
          <w:p w:rsidR="001E0EEE" w:rsidRPr="00AB59F8" w:rsidRDefault="001E0EEE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Q608 = H11 : Diarrhea in last 2weeks</w:t>
            </w:r>
          </w:p>
          <w:p w:rsidR="00F46BAD" w:rsidRPr="00AB59F8" w:rsidRDefault="00F46BAD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Q611 = in H12A:H12Z : Sought treatment for diarrhea</w:t>
            </w:r>
          </w:p>
          <w:p w:rsidR="00F46BAD" w:rsidRPr="00AB59F8" w:rsidRDefault="00F46BA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Q612 = in H12A:H12Z : Where sought treatment</w:t>
            </w:r>
          </w:p>
          <w:p w:rsidR="00F21071" w:rsidRPr="00AB59F8" w:rsidRDefault="00F21071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Q614 = H44A : First advice or treatment for diarrhea</w:t>
            </w:r>
          </w:p>
          <w:p w:rsidR="00F21071" w:rsidRPr="00AB59F8" w:rsidRDefault="00F21071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Q615A = H13 : Fluid from ORS Packet</w:t>
            </w:r>
          </w:p>
          <w:p w:rsidR="00F21071" w:rsidRPr="00AB59F8" w:rsidRDefault="00F21071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Q615B = H13B : Pre-packaged ORS liquid</w:t>
            </w:r>
          </w:p>
          <w:p w:rsidR="00F21071" w:rsidRPr="00AB59F8" w:rsidRDefault="00F21071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Q615C = H14 : Home-made fluid</w:t>
            </w:r>
          </w:p>
          <w:p w:rsidR="00F21071" w:rsidRPr="00AB59F8" w:rsidRDefault="00F21071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Q615D = H15E : Zinc</w:t>
            </w:r>
          </w:p>
          <w:p w:rsidR="00F21071" w:rsidRPr="00AB59F8" w:rsidRDefault="00F21071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Q616 = H21A : Anything else to treat diarrhea</w:t>
            </w:r>
          </w:p>
          <w:p w:rsidR="009F736B" w:rsidRPr="00AB59F8" w:rsidRDefault="00F21071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Q617 = H15, H15A:H15M, H20 : Given to treat diarrhea</w:t>
            </w:r>
          </w:p>
          <w:p w:rsidR="00E121FD" w:rsidRPr="00AB59F8" w:rsidRDefault="00E121F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157" w:type="pct"/>
            <w:tcBorders>
              <w:top w:val="single" w:sz="18" w:space="0" w:color="auto"/>
            </w:tcBorders>
          </w:tcPr>
          <w:p w:rsidR="0015534F" w:rsidRPr="00AB59F8" w:rsidRDefault="001C34DA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H21 (SUMMARY)</w:t>
            </w:r>
          </w:p>
          <w:p w:rsidR="00AF2354" w:rsidRPr="00AB59F8" w:rsidRDefault="00DE384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H21A- other treatments outside the professional treatments needs listing according to the Regions</w:t>
            </w:r>
          </w:p>
          <w:p w:rsidR="00DE3844" w:rsidRPr="00AB59F8" w:rsidRDefault="00DE384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</w:t>
            </w:r>
          </w:p>
          <w:p w:rsidR="000B1A1A" w:rsidRPr="00AB59F8" w:rsidRDefault="000B1A1A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Note : H12A:H12Z – if care sought at a Hospital (Private, </w:t>
            </w:r>
            <w:proofErr w:type="spellStart"/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Govt</w:t>
            </w:r>
            <w:proofErr w:type="spellEnd"/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or Public it constitutes appropriat</w:t>
            </w:r>
            <w:r w:rsidR="00AF2354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e and otherwise constitutes inappropriate behavior 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)</w:t>
            </w:r>
          </w:p>
          <w:p w:rsidR="000B1A1A" w:rsidRPr="00AB59F8" w:rsidRDefault="000B1A1A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  <w:p w:rsidR="000B1A1A" w:rsidRPr="00AB59F8" w:rsidRDefault="000B1A1A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H44A</w:t>
            </w:r>
            <w:r w:rsidR="008F51FD"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if advice or treatment was sough outside Medical professional it constitutes inappropriate behavior</w:t>
            </w:r>
          </w:p>
          <w:p w:rsidR="00DE3844" w:rsidRPr="00AB59F8" w:rsidRDefault="00DE384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</w:tr>
      <w:tr w:rsidR="00AF2354" w:rsidRPr="00AB59F8" w:rsidTr="00FA7F07">
        <w:trPr>
          <w:trHeight w:val="261"/>
        </w:trPr>
        <w:tc>
          <w:tcPr>
            <w:tcW w:w="370" w:type="pct"/>
            <w:tcBorders>
              <w:top w:val="single" w:sz="18" w:space="0" w:color="auto"/>
            </w:tcBorders>
          </w:tcPr>
          <w:p w:rsidR="00464F65" w:rsidRPr="00AB59F8" w:rsidRDefault="00464F65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2</w:t>
            </w:r>
          </w:p>
        </w:tc>
        <w:tc>
          <w:tcPr>
            <w:tcW w:w="1614" w:type="pct"/>
            <w:tcBorders>
              <w:top w:val="single" w:sz="18" w:space="0" w:color="auto"/>
            </w:tcBorders>
          </w:tcPr>
          <w:p w:rsidR="00464F65" w:rsidRPr="00AB59F8" w:rsidRDefault="00464F65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Fever</w:t>
            </w:r>
          </w:p>
          <w:p w:rsidR="00D47882" w:rsidRPr="00AB59F8" w:rsidRDefault="00D47882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*Appropriate Health care is Sought and provided for Fever (1)</w:t>
            </w:r>
          </w:p>
          <w:p w:rsidR="00D47882" w:rsidRPr="00AB59F8" w:rsidRDefault="00D47882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Not Appropriate (0)</w:t>
            </w:r>
          </w:p>
        </w:tc>
        <w:tc>
          <w:tcPr>
            <w:tcW w:w="1860" w:type="pct"/>
            <w:tcBorders>
              <w:top w:val="single" w:sz="18" w:space="0" w:color="auto"/>
            </w:tcBorders>
          </w:tcPr>
          <w:p w:rsidR="00433A1C" w:rsidRPr="00AB59F8" w:rsidRDefault="00433A1C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Q618 = H22 : Fever in last 2 weeks</w:t>
            </w:r>
          </w:p>
          <w:p w:rsidR="00464F65" w:rsidRPr="00AB59F8" w:rsidRDefault="00433A1C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Q619 = H47 : Blood taken from finger or heel for testing</w:t>
            </w:r>
          </w:p>
        </w:tc>
        <w:tc>
          <w:tcPr>
            <w:tcW w:w="1157" w:type="pct"/>
            <w:tcBorders>
              <w:top w:val="single" w:sz="18" w:space="0" w:color="auto"/>
            </w:tcBorders>
          </w:tcPr>
          <w:p w:rsidR="00464F65" w:rsidRPr="00AB59F8" w:rsidRDefault="00F93970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H22 &amp; H47</w:t>
            </w:r>
          </w:p>
        </w:tc>
      </w:tr>
      <w:tr w:rsidR="00AF2354" w:rsidRPr="00AB59F8" w:rsidTr="00FA7F07">
        <w:trPr>
          <w:trHeight w:val="261"/>
        </w:trPr>
        <w:tc>
          <w:tcPr>
            <w:tcW w:w="370" w:type="pct"/>
            <w:tcBorders>
              <w:top w:val="single" w:sz="18" w:space="0" w:color="auto"/>
            </w:tcBorders>
          </w:tcPr>
          <w:p w:rsidR="00464F65" w:rsidRPr="00AB59F8" w:rsidRDefault="00464F65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3</w:t>
            </w:r>
          </w:p>
        </w:tc>
        <w:tc>
          <w:tcPr>
            <w:tcW w:w="1614" w:type="pct"/>
            <w:tcBorders>
              <w:top w:val="single" w:sz="18" w:space="0" w:color="auto"/>
            </w:tcBorders>
          </w:tcPr>
          <w:p w:rsidR="00464F65" w:rsidRPr="00AB59F8" w:rsidRDefault="00464F65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Cough</w:t>
            </w:r>
          </w:p>
          <w:p w:rsidR="00433A1C" w:rsidRPr="00AB59F8" w:rsidRDefault="00433A1C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 xml:space="preserve">*Appropriate Health care is Sought </w:t>
            </w: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lastRenderedPageBreak/>
              <w:t>and provided for Cough (1)</w:t>
            </w:r>
          </w:p>
          <w:p w:rsidR="00433A1C" w:rsidRPr="00AB59F8" w:rsidRDefault="00433A1C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Not Appropriate (0)</w:t>
            </w:r>
          </w:p>
          <w:p w:rsidR="00433A1C" w:rsidRPr="00AB59F8" w:rsidRDefault="00433A1C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</w:p>
        </w:tc>
        <w:tc>
          <w:tcPr>
            <w:tcW w:w="1860" w:type="pct"/>
            <w:tcBorders>
              <w:top w:val="single" w:sz="18" w:space="0" w:color="auto"/>
            </w:tcBorders>
          </w:tcPr>
          <w:p w:rsidR="002643E0" w:rsidRPr="00AB59F8" w:rsidRDefault="002643E0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lastRenderedPageBreak/>
              <w:t>Q620 = H31 : Cough in last 2 weeks</w:t>
            </w:r>
          </w:p>
          <w:p w:rsidR="00464F65" w:rsidRPr="00AB59F8" w:rsidRDefault="002643E0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 xml:space="preserve">Q622 = H31C : Problem in the chest or </w:t>
            </w:r>
            <w:r w:rsidRPr="00AB59F8">
              <w:rPr>
                <w:rFonts w:ascii="Times New Roman" w:hAnsi="Times New Roman" w:cs="Times New Roman"/>
                <w:color w:val="000000" w:themeColor="text1"/>
              </w:rPr>
              <w:lastRenderedPageBreak/>
              <w:t>blocked or running nose</w:t>
            </w:r>
          </w:p>
        </w:tc>
        <w:tc>
          <w:tcPr>
            <w:tcW w:w="1157" w:type="pct"/>
            <w:tcBorders>
              <w:top w:val="single" w:sz="18" w:space="0" w:color="auto"/>
            </w:tcBorders>
          </w:tcPr>
          <w:p w:rsidR="00464F65" w:rsidRPr="00AB59F8" w:rsidRDefault="00FA7F07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lastRenderedPageBreak/>
              <w:t xml:space="preserve">H31 </w:t>
            </w:r>
          </w:p>
        </w:tc>
      </w:tr>
      <w:tr w:rsidR="00AF2354" w:rsidRPr="00AB59F8" w:rsidTr="00FA7F07">
        <w:trPr>
          <w:trHeight w:val="261"/>
        </w:trPr>
        <w:tc>
          <w:tcPr>
            <w:tcW w:w="370" w:type="pct"/>
            <w:tcBorders>
              <w:top w:val="single" w:sz="18" w:space="0" w:color="auto"/>
            </w:tcBorders>
          </w:tcPr>
          <w:p w:rsidR="002643E0" w:rsidRPr="00AB59F8" w:rsidRDefault="002643E0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614" w:type="pct"/>
            <w:tcBorders>
              <w:top w:val="single" w:sz="18" w:space="0" w:color="auto"/>
            </w:tcBorders>
          </w:tcPr>
          <w:p w:rsidR="002643E0" w:rsidRPr="00AB59F8" w:rsidRDefault="002643E0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Cough &amp; Fever</w:t>
            </w:r>
          </w:p>
        </w:tc>
        <w:tc>
          <w:tcPr>
            <w:tcW w:w="1860" w:type="pct"/>
            <w:tcBorders>
              <w:top w:val="single" w:sz="18" w:space="0" w:color="auto"/>
            </w:tcBorders>
          </w:tcPr>
          <w:p w:rsidR="00E06BEF" w:rsidRPr="00AB59F8" w:rsidRDefault="00E06BEF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Q624 = in H32A:H32Z : Sought advice/treatment for fever/cough</w:t>
            </w:r>
          </w:p>
          <w:p w:rsidR="00E06BEF" w:rsidRPr="00AB59F8" w:rsidRDefault="00E06BEF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Q625 = in H32A:H32Z : Where sought advice/treatment</w:t>
            </w:r>
          </w:p>
          <w:p w:rsidR="00E06BEF" w:rsidRPr="00AB59F8" w:rsidRDefault="00E06BEF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Q627 = H46A : First advice or treatment for fever/cough</w:t>
            </w:r>
          </w:p>
          <w:p w:rsidR="00E06BEF" w:rsidRPr="00AB59F8" w:rsidRDefault="00E06BEF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Q628 = H46B : Days after illness sought advice or treatment for: fever/cough</w:t>
            </w:r>
          </w:p>
          <w:p w:rsidR="00E06BEF" w:rsidRPr="00AB59F8" w:rsidRDefault="00E06BEF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Q629 = in H37A:H37Z or ML13A:ML13 : Any drugs for fever/cough</w:t>
            </w:r>
          </w:p>
          <w:p w:rsidR="00E06BEF" w:rsidRPr="00AB59F8" w:rsidRDefault="00E06BEF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>Q630 = in H37A:H37Z or ML13A:ML13 : Drugs for fever/cough</w:t>
            </w:r>
          </w:p>
          <w:p w:rsidR="002643E0" w:rsidRPr="00AB59F8" w:rsidRDefault="002643E0" w:rsidP="00D056D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57" w:type="pct"/>
            <w:tcBorders>
              <w:top w:val="single" w:sz="18" w:space="0" w:color="auto"/>
            </w:tcBorders>
          </w:tcPr>
          <w:p w:rsidR="00AF2354" w:rsidRPr="00AB59F8" w:rsidRDefault="00AF235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H32A:H32Z</w:t>
            </w:r>
          </w:p>
          <w:p w:rsidR="00293252" w:rsidRPr="00AB59F8" w:rsidRDefault="00293252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H46A:H46B</w:t>
            </w:r>
          </w:p>
          <w:p w:rsidR="002643E0" w:rsidRPr="00AB59F8" w:rsidRDefault="00AF2354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if care sought at a Hospital (Private, </w:t>
            </w:r>
            <w:proofErr w:type="spellStart"/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Govt</w:t>
            </w:r>
            <w:proofErr w:type="spellEnd"/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or Public it constitutes appropriate and otherwise constitutes inappropriate behavior)</w:t>
            </w:r>
          </w:p>
          <w:p w:rsidR="00AF626E" w:rsidRPr="00AB59F8" w:rsidRDefault="00AF626E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</w:rPr>
              <w:t xml:space="preserve">H37A:H37Z or ML13A:ML13 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If drugs used its appropriate behavior</w:t>
            </w:r>
          </w:p>
        </w:tc>
      </w:tr>
      <w:tr w:rsidR="00DC035B" w:rsidRPr="00AB59F8" w:rsidTr="00A13F5B">
        <w:trPr>
          <w:trHeight w:val="261"/>
        </w:trPr>
        <w:tc>
          <w:tcPr>
            <w:tcW w:w="370" w:type="pct"/>
            <w:tcBorders>
              <w:top w:val="single" w:sz="18" w:space="0" w:color="auto"/>
            </w:tcBorders>
          </w:tcPr>
          <w:p w:rsidR="00DC035B" w:rsidRPr="00AB59F8" w:rsidRDefault="00DC035B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" w:type="pct"/>
            <w:gridSpan w:val="3"/>
            <w:tcBorders>
              <w:top w:val="single" w:sz="18" w:space="0" w:color="auto"/>
            </w:tcBorders>
          </w:tcPr>
          <w:p w:rsidR="00DC035B" w:rsidRPr="00AB59F8" w:rsidRDefault="00DC035B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HSB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*</w:t>
            </w:r>
          </w:p>
          <w:p w:rsidR="00DC035B" w:rsidRPr="00AB59F8" w:rsidRDefault="00DC035B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Compute all variables and recoded into 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a dichotomous  Variable where 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Appropriate HSB1 appropriate HS behavior </w:t>
            </w:r>
          </w:p>
          <w:p w:rsidR="00DC035B" w:rsidRPr="00AB59F8" w:rsidRDefault="00DC035B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0 Inappropriate HS behavior</w:t>
            </w:r>
          </w:p>
          <w:p w:rsidR="00DC035B" w:rsidRPr="00AB59F8" w:rsidRDefault="00DC035B" w:rsidP="00D056D9">
            <w:pPr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(making use of any other treatment options 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other than from health care provider is considered inappropriate behaviour</w:t>
            </w: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 xml:space="preserve"> )</w:t>
            </w:r>
          </w:p>
        </w:tc>
      </w:tr>
      <w:tr w:rsidR="0015534F" w:rsidRPr="00AB59F8" w:rsidTr="00FA7F07">
        <w:trPr>
          <w:trHeight w:val="261"/>
        </w:trPr>
        <w:tc>
          <w:tcPr>
            <w:tcW w:w="370" w:type="pct"/>
            <w:tcBorders>
              <w:top w:val="single" w:sz="18" w:space="0" w:color="auto"/>
            </w:tcBorders>
          </w:tcPr>
          <w:p w:rsidR="0015534F" w:rsidRPr="00AB59F8" w:rsidRDefault="00E121FD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  <w:r w:rsidRPr="00AB59F8">
              <w:rPr>
                <w:rFonts w:ascii="Times New Roman" w:hAnsi="Times New Roman" w:cs="Times New Roman"/>
                <w:color w:val="000000" w:themeColor="text1"/>
                <w:lang w:eastAsia="en-ZA"/>
              </w:rPr>
              <w:t>Guide</w:t>
            </w:r>
          </w:p>
        </w:tc>
        <w:tc>
          <w:tcPr>
            <w:tcW w:w="4630" w:type="pct"/>
            <w:gridSpan w:val="3"/>
            <w:tcBorders>
              <w:top w:val="single" w:sz="18" w:space="0" w:color="auto"/>
            </w:tcBorders>
          </w:tcPr>
          <w:p w:rsidR="00620610" w:rsidRDefault="00620610" w:rsidP="009A4BB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b/>
                <w:color w:val="000000" w:themeColor="text1"/>
                <w:lang w:eastAsia="en-ZA"/>
              </w:rPr>
              <w:t>(</w:t>
            </w:r>
            <w:r w:rsidRPr="00AB59F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Section W4A (REC4A))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(Pg84/90)</w:t>
            </w:r>
          </w:p>
          <w:p w:rsidR="009A4BBC" w:rsidRPr="00AB59F8" w:rsidRDefault="009A4BBC" w:rsidP="009A4BB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Section and Variable Description – Individual</w:t>
            </w:r>
          </w:p>
          <w:p w:rsidR="009A4BBC" w:rsidRPr="00AB59F8" w:rsidRDefault="009A4BBC" w:rsidP="009A4BB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In the DHS I individual recode only living children were included.</w:t>
            </w:r>
          </w:p>
          <w:p w:rsidR="009A4BBC" w:rsidRPr="00AB59F8" w:rsidRDefault="009A4BBC" w:rsidP="009A4BB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HIDXA Index to the birth history. All children born in the last years have entries in this section.</w:t>
            </w:r>
          </w:p>
          <w:p w:rsidR="009A4BBC" w:rsidRPr="00AB59F8" w:rsidRDefault="009A4BBC" w:rsidP="009A4BB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Children of multiple births each have their own entry as in the maternity history.</w:t>
            </w:r>
          </w:p>
          <w:p w:rsidR="009A4BBC" w:rsidRPr="00AB59F8" w:rsidRDefault="009A4BBC" w:rsidP="009A4BB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eastAsia="TimesNewRomanPSMT" w:hAnsi="Times New Roman" w:cs="Times New Roman"/>
                <w:b/>
                <w:bCs/>
                <w:color w:val="000000" w:themeColor="text1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 w:themeColor="text1"/>
              </w:rPr>
              <w:t>Children born in the last 5 years (B19 &lt; 60).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Section W4A (REC4A) </w:t>
            </w:r>
            <w:r w:rsidRPr="00FE19DC">
              <w:rPr>
                <w:rFonts w:ascii="Times New Roman" w:eastAsia="TimesNewRomanPSMT" w:hAnsi="Times New Roman" w:cs="Times New Roman"/>
                <w:b/>
                <w:color w:val="000000"/>
              </w:rPr>
              <w:t>Health History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The health history contains up to six entries, relating to children born in the last five years. All children born</w:t>
            </w:r>
            <w:r w:rsidR="00256303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in the last five years, covering months 0 to 59 prior to the interview, as for the maternity history, are included.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The children who have died are included in this section, whereas in the DHS I individual recode only living</w:t>
            </w:r>
            <w:r w:rsidR="00256303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children were included. For children who have died, none of the variables are applicable, but the entry is</w:t>
            </w:r>
            <w:r w:rsidR="00256303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included to facilitate linking with children’s data in other sections. If there are more than six children born in</w:t>
            </w:r>
            <w:r w:rsidR="00256303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the last three/five years then only the last six are included in the health history.</w:t>
            </w:r>
          </w:p>
          <w:p w:rsid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See the example health history below.</w:t>
            </w:r>
          </w:p>
          <w:p w:rsidR="00FE19DC" w:rsidRPr="00AB59F8" w:rsidRDefault="00FE19DC" w:rsidP="00FE19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lastRenderedPageBreak/>
              <w:t>Var</w:t>
            </w:r>
            <w:proofErr w:type="spellEnd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 Description</w:t>
            </w:r>
          </w:p>
          <w:p w:rsidR="00FE19DC" w:rsidRPr="00AB59F8" w:rsidRDefault="00FE19DC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DHS VII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Standard Recode 86 August 29, 2018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HIDXA Index to the birth history. All children born in the last years have entries in this section.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Children of multiple births each have their own entry as in the maternity history.</w:t>
            </w:r>
          </w:p>
          <w:p w:rsidR="0050184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Children born in the last 5 years (B19 &lt; 60).</w:t>
            </w:r>
          </w:p>
          <w:p w:rsidR="00AB59F8" w:rsidRPr="0050184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b/>
                <w:color w:val="000000"/>
              </w:rPr>
            </w:pPr>
            <w:r w:rsidRPr="00501848">
              <w:rPr>
                <w:rFonts w:ascii="Times New Roman" w:eastAsia="TimesNewRomanPSMT" w:hAnsi="Times New Roman" w:cs="Times New Roman"/>
                <w:b/>
                <w:color w:val="000000"/>
              </w:rPr>
              <w:t>Diarrhea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Variables H11 to H21 relate to the prevalence and treatment of diarrhea.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All living children born in the last five years for H11 (B19 &lt; 60 and B5 = 1), and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children having an episode of diarrhea in the last two weeks (H11 = 1 or H11 = 2) for H11B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to H21.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H11 Whether the child had diarrhea in the last 24 hours or within the last two weeks. Code 1 is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country specific for surveys after DHS II. Code 1 indicates that the child had been ill in the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last 24 hours; code 2 indicates that the child had been ill with diarrhea in the last two weeks.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In case the question about diarrhea in the last 24 hours is used, the code 1 can be used, in this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case the code 2 is used to indicate that the child had diarrhea the last two weeks but not in the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last 24 hours otherwise the code 2 is for the last 2 weeks including the last 24 hours.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H11B Whether there was any blood in the stools. This question is no longer part of the DHS VII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core questionnaire, but the variable is kept in the DHS VII recode.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H12A-X The place at which medical treatment or advice was sought for the last episode of diarrhea.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This question has multiple coding categories and each category is recorded separately in</w:t>
            </w:r>
            <w:r w:rsidR="00F46F1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these variables. A few of the categories are standard (H12A, J, K, L, X). However, room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has been left for country-specific categories (H12B, C, D, E, F, G, H, I, M, N, O, P, Q, R, S,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T, U, V, W). Any category not used in a particular country is left blank.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>Public Sector.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H12A Government Hospital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H12B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H12C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H12D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H12E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H12F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H12G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H12H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H12I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>Medical Private Sector.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H12J Private Hospital or Clinic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H12K Pharmacy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H12L Private Doctor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H12M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H12N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H12O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H12P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H12Q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H12R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>Other Private Sector.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H12S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H12T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H12U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H12V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H12W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H12X Other</w:t>
            </w:r>
          </w:p>
          <w:p w:rsid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H12Y Whether no treatment or advice was sought for the diarrhea as reported by the respondent.</w:t>
            </w:r>
          </w:p>
          <w:p w:rsidR="00CB55C8" w:rsidRPr="00AB59F8" w:rsidRDefault="00CB55C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</w:p>
          <w:p w:rsidR="00AB59F8" w:rsidRPr="00CB55C8" w:rsidRDefault="0050184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b/>
                <w:color w:val="000000"/>
              </w:rPr>
            </w:pPr>
            <w:r>
              <w:rPr>
                <w:rFonts w:ascii="Times New Roman" w:eastAsia="TimesNewRomanPSMT" w:hAnsi="Times New Roman" w:cs="Times New Roman"/>
                <w:b/>
                <w:color w:val="000000"/>
              </w:rPr>
              <w:lastRenderedPageBreak/>
              <w:t>*</w:t>
            </w:r>
            <w:r w:rsidR="00AB59F8" w:rsidRPr="00CB55C8">
              <w:rPr>
                <w:rFonts w:ascii="Times New Roman" w:eastAsia="TimesNewRomanPSMT" w:hAnsi="Times New Roman" w:cs="Times New Roman"/>
                <w:b/>
                <w:color w:val="000000"/>
              </w:rPr>
              <w:t>H12Z Whether the child was taken to a medical facility for treatment of the diarrhea. This usually</w:t>
            </w:r>
            <w:r w:rsidR="00CB55C8" w:rsidRPr="00CB55C8">
              <w:rPr>
                <w:rFonts w:ascii="Times New Roman" w:eastAsia="TimesNewRomanPSMT" w:hAnsi="Times New Roman" w:cs="Times New Roman"/>
                <w:b/>
                <w:color w:val="000000"/>
              </w:rPr>
              <w:t xml:space="preserve"> </w:t>
            </w:r>
            <w:r w:rsidR="00AB59F8" w:rsidRPr="00CB55C8">
              <w:rPr>
                <w:rFonts w:ascii="Times New Roman" w:eastAsia="TimesNewRomanPSMT" w:hAnsi="Times New Roman" w:cs="Times New Roman"/>
                <w:b/>
                <w:color w:val="000000"/>
              </w:rPr>
              <w:t>includes being taken to all Public Sector facilities and all Medical Private Sector facilities</w:t>
            </w:r>
            <w:r w:rsidR="00CB55C8" w:rsidRPr="00CB55C8">
              <w:rPr>
                <w:rFonts w:ascii="Times New Roman" w:eastAsia="TimesNewRomanPSMT" w:hAnsi="Times New Roman" w:cs="Times New Roman"/>
                <w:b/>
                <w:color w:val="000000"/>
              </w:rPr>
              <w:t xml:space="preserve"> </w:t>
            </w:r>
            <w:r w:rsidR="00AB59F8" w:rsidRPr="00CB55C8">
              <w:rPr>
                <w:rFonts w:ascii="Times New Roman" w:eastAsia="TimesNewRomanPSMT" w:hAnsi="Times New Roman" w:cs="Times New Roman"/>
                <w:b/>
                <w:color w:val="000000"/>
              </w:rPr>
              <w:t>except for Pharmacy. This variable is a summary of these preceding variables as is used in</w:t>
            </w:r>
            <w:r w:rsidR="00CB55C8" w:rsidRPr="00CB55C8">
              <w:rPr>
                <w:rFonts w:ascii="Times New Roman" w:eastAsia="TimesNewRomanPSMT" w:hAnsi="Times New Roman" w:cs="Times New Roman"/>
                <w:b/>
                <w:color w:val="000000"/>
              </w:rPr>
              <w:t xml:space="preserve"> </w:t>
            </w:r>
            <w:r w:rsidR="00AB59F8" w:rsidRPr="00CB55C8">
              <w:rPr>
                <w:rFonts w:ascii="Times New Roman" w:eastAsia="TimesNewRomanPSMT" w:hAnsi="Times New Roman" w:cs="Times New Roman"/>
                <w:b/>
                <w:color w:val="000000"/>
              </w:rPr>
              <w:t>the final reports.</w:t>
            </w:r>
          </w:p>
          <w:p w:rsidR="00501848" w:rsidRDefault="0050184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H13 Whether the child received a sugar-salt-water solution from a special packet (ORS).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H13 is coded 1 if the respondent spontaneously reported giving ORS to treat the diarrhea,</w:t>
            </w:r>
            <w:r w:rsidR="00501848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and code 2 if it was reported only after probing. Code 1 is country specific for surveys after</w:t>
            </w:r>
            <w:r w:rsidR="00501848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DHS-II.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H13B Given a pre-packaged ORS liquid.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H14 Whether the child was given the recommended home solution.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H14 is coded 1 if the respondent spontaneously reported giving the recommended home</w:t>
            </w:r>
            <w:r w:rsidR="00501848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solution to treat the diarrhea, and code 2 if it was reported only after probing</w:t>
            </w:r>
            <w:r w:rsidRPr="00AB59F8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.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Code 1 is</w:t>
            </w:r>
            <w:r w:rsidR="00501848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country specific for surveys after DHS-II.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 Whether the child was given antibiotic pills or syrups.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H15A Whether the child was given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antimotility</w:t>
            </w:r>
            <w:proofErr w:type="spellEnd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 pills or syrups.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H15B Whether the child was given an antibiotic injection.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H15C Whether the child was given an IV (Intravenous feeding).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H15D Whether the child was given home remedies or herbal medicines.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H15E Whether the child was given zinc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H15F Whether the child was given other (not antibiotic,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antimotility</w:t>
            </w:r>
            <w:proofErr w:type="spellEnd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, zinc)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H15G Whether the child was given an unknown pill or syrup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H15H Whether the child was given not antibiotic injection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H15I Whether the child was given an unknown injection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H15J-M Country-specific other treatments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H20 Whether the child received any other treatment.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H21A Whether the respondent reported that the child received no treatment.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H21 Whether the child received any treatment or whether advice or treatment was sought for the</w:t>
            </w:r>
            <w:r w:rsidR="00501848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child. This is a summary of the preceding variables H12A to H12Z, H13, H14, H15 to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H15M and H20.</w:t>
            </w:r>
          </w:p>
          <w:p w:rsidR="00501848" w:rsidRDefault="0050184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b/>
                <w:color w:val="000000"/>
              </w:rPr>
            </w:pPr>
          </w:p>
          <w:p w:rsidR="00AB59F8" w:rsidRPr="0050184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b/>
                <w:color w:val="000000"/>
              </w:rPr>
            </w:pPr>
            <w:r w:rsidRPr="00501848">
              <w:rPr>
                <w:rFonts w:ascii="Times New Roman" w:eastAsia="TimesNewRomanPSMT" w:hAnsi="Times New Roman" w:cs="Times New Roman"/>
                <w:b/>
                <w:color w:val="000000"/>
              </w:rPr>
              <w:t>Fever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H22 Whether the child had fever in the last two weeks.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Variables H31 to H32Z relate to the prevalence and treatment of cough in the two weeks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preceding the interview.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All living children born in the last five years for H22, H31, H31B and H34, and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children suffering from fever or short rapid breaths or difficulty breathing in the last two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weeks for H32A to H32Z and H37A to H37Z (H22 = 1 or H31B = 1).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H31 Whether the child had suffered from a cough in the last two weeks and whether the child had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been ill with the cough in the last 24 hours. Code 1 indicates that the child had been ill in the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last 24 hours</w:t>
            </w:r>
            <w:r w:rsidRPr="00AB59F8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;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code 2 indicates that the child had been ill with the cough in the last two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weeks. Code 1 is country specific for surveys after DHS II. In case code 1 is used, code 2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indicates that the child had cough in last two weeks but not in the last 24 hours.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H31B Whether the child had suffered from rapid breathing.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>BASE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: All living children born in the last 5 years. In previous recodes the base was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restricted to children who had suffered from cough.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H31C Whether the child has a problem in the chest or a blocked or running nose.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H31D Amount offered to the child to drink. This question is no longer part of the DHS VII core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questionnaire, but the variable is kept in the DHS VII recode.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H31E Amount offered to the child to eat. This question is no longer part of the DHS VII core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questionnaire, but the variable is kept in the DHS VII recode.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H32A-X The place at which medical treatment or advice was sought for the last episode of fever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and/or difficulty breathing. This question has multiple coding categories and each category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is recorded separately in these variables. A few of the categories are standard (H32A, J, K,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L, X). However, room has been left for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lastRenderedPageBreak/>
              <w:t>country-specific categories (H32B, C, D, E, F, G, H,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I, M, N, O, P, Q, R, S, T, U, V, W). Any category not used in a particular country is left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blank.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>Public Sector.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H32A Government Hospital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H32B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H32C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H32D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H32E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H32F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H32G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H32H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H32I Country-specific public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>Medical Private Sector.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H32J Private Hospital or Clinic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H32K Pharmacy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H32L Private Doctor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H32M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H32N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H32O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H32P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H32Q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H32R Country-specific medical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>Other Private Sector.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H32S Country-specific other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H32T Country-specific other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H32U Country-specific other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H32V Country-specific other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H32W Country-specific other private sector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H32X Other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H32Y Whether no treatment or advice was sought for the fever and/or cough as reported by the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respondent.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H32Z Whether the child was taken to a medical facility for treatment of the fever and/or cough.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This usually includes being taken to all Public Sector facilities and all Medical Private Sector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facilities except for Pharmacy. This variable is a summary of these preceding variables as is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used in the final reports.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H34 Whether the respondent received or not a vitamin A dose in form of an ampoule, a capsule or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syrup in last 6 months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All living children born in the last five years (B19 &lt; 60 and B5 = 1)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Treatment taken for fever or difficulty breathing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for H37A to H37Z is children suffering from fever or short rapid breaths or difficulty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breathing in the last two weeks (H22 = 1 or H31B = 1). In previous recodes the base was</w:t>
            </w:r>
            <w:r w:rsidR="00545559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restricted to children with fever in the last 2 weeks (H22 = 1).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H37A SP/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Fansidar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H37B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Chloroquine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H37C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Amodiaquine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H37D Quinine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FF0000"/>
              </w:rPr>
            </w:pPr>
            <w:r w:rsidRPr="00AB59F8">
              <w:rPr>
                <w:rFonts w:ascii="Times New Roman" w:eastAsia="TimesNewRomanPSMT" w:hAnsi="Times New Roman" w:cs="Times New Roman"/>
                <w:color w:val="FF0000"/>
              </w:rPr>
              <w:t>H37DA Quinine injection/IV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H37E Combination with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artemisinin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FF0000"/>
              </w:rPr>
            </w:pPr>
            <w:r w:rsidRPr="00AB59F8">
              <w:rPr>
                <w:rFonts w:ascii="Times New Roman" w:eastAsia="TimesNewRomanPSMT" w:hAnsi="Times New Roman" w:cs="Times New Roman"/>
                <w:color w:val="FF0000"/>
              </w:rPr>
              <w:t xml:space="preserve">H37AA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FF0000"/>
              </w:rPr>
              <w:t>Artesunate</w:t>
            </w:r>
            <w:proofErr w:type="spellEnd"/>
            <w:r w:rsidRPr="00AB59F8">
              <w:rPr>
                <w:rFonts w:ascii="Times New Roman" w:eastAsia="TimesNewRomanPSMT" w:hAnsi="Times New Roman" w:cs="Times New Roman"/>
                <w:color w:val="FF0000"/>
              </w:rPr>
              <w:t xml:space="preserve"> rectal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FF0000"/>
              </w:rPr>
            </w:pPr>
            <w:r w:rsidRPr="00AB59F8">
              <w:rPr>
                <w:rFonts w:ascii="Times New Roman" w:eastAsia="TimesNewRomanPSMT" w:hAnsi="Times New Roman" w:cs="Times New Roman"/>
                <w:color w:val="FF0000"/>
              </w:rPr>
              <w:t xml:space="preserve">H37AB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FF0000"/>
              </w:rPr>
              <w:t>Artesunate</w:t>
            </w:r>
            <w:proofErr w:type="spellEnd"/>
            <w:r w:rsidRPr="00AB59F8">
              <w:rPr>
                <w:rFonts w:ascii="Times New Roman" w:eastAsia="TimesNewRomanPSMT" w:hAnsi="Times New Roman" w:cs="Times New Roman"/>
                <w:color w:val="FF0000"/>
              </w:rPr>
              <w:t xml:space="preserve"> injection/IV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H37F Country specific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antimalarial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H37G Country specific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antimalarial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H37H Other 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antimalarial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lastRenderedPageBreak/>
              <w:t>H37I Antibiotic pills or syrup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H37J Antibiotic injection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H37K Aspirin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H37L Acetaminophen/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paracetamol</w:t>
            </w:r>
            <w:proofErr w:type="spellEnd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/</w:t>
            </w:r>
            <w:proofErr w:type="spell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panadol</w:t>
            </w:r>
            <w:proofErr w:type="spellEnd"/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H37M Ibuprofen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H37N Country specific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H37O Country specific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H37P Country specific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H37X Other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H37Y Nothing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H37Z Don't know if or what was taken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Drinking and eating pattern during diarrhea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H38 Amount offered to drink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H39 Amount offered to eat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for H38 and H39</w:t>
            </w: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Diarrhea last two weeks (H11 = 1 or H11 = 2).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H42 Taking iron pills, sprinkles with iron or iron syrup in the last 7 days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All living children born in the last five years (B19 &lt; 60 and B5 = 1)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H43 Drugs for intestinal parasites in last 6 months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All living children born in the last five years (B19 &lt; 60 and B5 = 1)</w:t>
            </w:r>
          </w:p>
          <w:p w:rsidR="00AB59F8" w:rsidRPr="00FD49A5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b/>
                <w:color w:val="000000"/>
              </w:rPr>
            </w:pPr>
            <w:r w:rsidRPr="00FD49A5">
              <w:rPr>
                <w:rFonts w:ascii="Times New Roman" w:eastAsia="TimesNewRomanPSMT" w:hAnsi="Times New Roman" w:cs="Times New Roman"/>
                <w:b/>
                <w:color w:val="000000"/>
              </w:rPr>
              <w:t>Diarrhea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Questions pertaining to H44B, H44C and H45 are no longer part of the DHS VII core</w:t>
            </w:r>
            <w:r w:rsidR="00FD49A5">
              <w:rPr>
                <w:rFonts w:ascii="Times New Roman" w:eastAsia="TimesNewRomanPSMT" w:hAnsi="Times New Roman" w:cs="Times New Roman"/>
                <w:color w:val="000000"/>
              </w:rPr>
              <w:t xml:space="preserve"> questionnaire, but the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variables are kept in the DHS VII recode.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H44A Place first sought treatment for diarrhea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Received diarrhea treatment (H12Y = 0).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H44B Days after diarrhea sought advice or treatment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H44C Still has diarrhea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H45 Times zinc was given. This question is no longer part of the DHS VII core questionnaire, but</w:t>
            </w:r>
            <w:r w:rsidR="00FD49A5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the variable is kept in the DHS VII recode.</w:t>
            </w:r>
          </w:p>
          <w:p w:rsidR="00FD49A5" w:rsidRDefault="00FD49A5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b/>
                <w:color w:val="000000"/>
              </w:rPr>
            </w:pPr>
          </w:p>
          <w:p w:rsidR="00AB59F8" w:rsidRPr="00FD49A5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b/>
                <w:color w:val="000000"/>
              </w:rPr>
            </w:pPr>
            <w:r w:rsidRPr="00FD49A5">
              <w:rPr>
                <w:rFonts w:ascii="Times New Roman" w:eastAsia="TimesNewRomanPSMT" w:hAnsi="Times New Roman" w:cs="Times New Roman"/>
                <w:b/>
                <w:color w:val="000000"/>
              </w:rPr>
              <w:t>Fever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H46A Place first sought treatment for fever of difficulty breathing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H46B Days after fever sought advice or treatment. This </w:t>
            </w:r>
            <w:proofErr w:type="gramStart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questions</w:t>
            </w:r>
            <w:proofErr w:type="gramEnd"/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 xml:space="preserve"> is no longer part of the DHS VII</w:t>
            </w:r>
            <w:r w:rsidR="00FD3540">
              <w:rPr>
                <w:rFonts w:ascii="Times New Roman" w:eastAsia="TimesNewRomanPSMT" w:hAnsi="Times New Roman" w:cs="Times New Roman"/>
                <w:color w:val="000000"/>
              </w:rPr>
              <w:t xml:space="preserve">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core questionnaire, but the variable is kept in the DHS VII recode.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Children who received treatment for fever or difficulty breathing last 2 weeks (H32Y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= 0).</w:t>
            </w:r>
          </w:p>
          <w:p w:rsidR="00AB59F8" w:rsidRPr="00AB59F8" w:rsidRDefault="00AB59F8" w:rsidP="00AB59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  <w:color w:val="000000"/>
              </w:rPr>
            </w:pP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H47 Blood taken from child's finger/heel for testing</w:t>
            </w:r>
          </w:p>
          <w:p w:rsidR="00F46BAD" w:rsidRPr="00AB59F8" w:rsidRDefault="00AB59F8" w:rsidP="00AB59F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NewRomanPSMT" w:hAnsi="Times New Roman" w:cs="Times New Roman"/>
                <w:color w:val="000000" w:themeColor="text1"/>
              </w:rPr>
            </w:pPr>
            <w:r w:rsidRPr="00AB59F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BASE: </w:t>
            </w:r>
            <w:r w:rsidRPr="00AB59F8">
              <w:rPr>
                <w:rFonts w:ascii="Times New Roman" w:eastAsia="TimesNewRomanPSMT" w:hAnsi="Times New Roman" w:cs="Times New Roman"/>
                <w:color w:val="000000"/>
              </w:rPr>
              <w:t>Children with a fever in the last 2 weeks (H22 = 1)</w:t>
            </w:r>
          </w:p>
        </w:tc>
      </w:tr>
      <w:tr w:rsidR="00B22020" w:rsidRPr="00AB59F8" w:rsidTr="00DC035B">
        <w:trPr>
          <w:trHeight w:val="183"/>
        </w:trPr>
        <w:tc>
          <w:tcPr>
            <w:tcW w:w="370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614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860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  <w:tc>
          <w:tcPr>
            <w:tcW w:w="1156" w:type="pct"/>
            <w:tcBorders>
              <w:bottom w:val="single" w:sz="18" w:space="0" w:color="auto"/>
            </w:tcBorders>
          </w:tcPr>
          <w:p w:rsidR="000D30F9" w:rsidRPr="00AB59F8" w:rsidRDefault="000D30F9" w:rsidP="00D056D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eastAsia="en-ZA"/>
              </w:rPr>
            </w:pPr>
          </w:p>
        </w:tc>
      </w:tr>
    </w:tbl>
    <w:p w:rsidR="00152B17" w:rsidRPr="00AB59F8" w:rsidRDefault="00152B17" w:rsidP="00D056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D4FA4" w:rsidRPr="00AB59F8" w:rsidRDefault="008D4FA4" w:rsidP="00D056D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D4FA4" w:rsidRPr="00AB59F8" w:rsidRDefault="008D4FA4" w:rsidP="00D056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0101D" w:rsidRPr="00AB59F8" w:rsidRDefault="00E0101D" w:rsidP="00D056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8F5296" w:rsidRPr="00AB59F8" w:rsidRDefault="008F5296" w:rsidP="00D056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8F5296" w:rsidRPr="00AB59F8" w:rsidSect="008F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33DB9"/>
    <w:multiLevelType w:val="multilevel"/>
    <w:tmpl w:val="214A5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0600A8A"/>
    <w:multiLevelType w:val="hybridMultilevel"/>
    <w:tmpl w:val="3D289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E18F07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288B43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B0A1E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BA5C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546CA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E6E9E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8865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CEE"/>
    <w:rsid w:val="00005B9E"/>
    <w:rsid w:val="00093D00"/>
    <w:rsid w:val="000B1A1A"/>
    <w:rsid w:val="000D30F9"/>
    <w:rsid w:val="000D4BDB"/>
    <w:rsid w:val="000D5AF4"/>
    <w:rsid w:val="00105084"/>
    <w:rsid w:val="001123FC"/>
    <w:rsid w:val="001270D6"/>
    <w:rsid w:val="00152B17"/>
    <w:rsid w:val="0015534F"/>
    <w:rsid w:val="001A5290"/>
    <w:rsid w:val="001C34DA"/>
    <w:rsid w:val="001E0EEE"/>
    <w:rsid w:val="001E72F2"/>
    <w:rsid w:val="002057B4"/>
    <w:rsid w:val="002439AB"/>
    <w:rsid w:val="00245E62"/>
    <w:rsid w:val="00256303"/>
    <w:rsid w:val="002643E0"/>
    <w:rsid w:val="0028045B"/>
    <w:rsid w:val="00293252"/>
    <w:rsid w:val="002C08B2"/>
    <w:rsid w:val="00367DD7"/>
    <w:rsid w:val="0040270D"/>
    <w:rsid w:val="00433A1C"/>
    <w:rsid w:val="00464F65"/>
    <w:rsid w:val="004734AA"/>
    <w:rsid w:val="00501848"/>
    <w:rsid w:val="00545559"/>
    <w:rsid w:val="006024AD"/>
    <w:rsid w:val="00620610"/>
    <w:rsid w:val="00694D7D"/>
    <w:rsid w:val="006B0EA0"/>
    <w:rsid w:val="006B3D87"/>
    <w:rsid w:val="006C54A9"/>
    <w:rsid w:val="006E337C"/>
    <w:rsid w:val="007415DE"/>
    <w:rsid w:val="00774840"/>
    <w:rsid w:val="007D7505"/>
    <w:rsid w:val="0082095A"/>
    <w:rsid w:val="00885CF7"/>
    <w:rsid w:val="008C1F37"/>
    <w:rsid w:val="008D4FA4"/>
    <w:rsid w:val="008F51FD"/>
    <w:rsid w:val="008F5296"/>
    <w:rsid w:val="009A4BBC"/>
    <w:rsid w:val="009F736B"/>
    <w:rsid w:val="00A83150"/>
    <w:rsid w:val="00AA036B"/>
    <w:rsid w:val="00AB59F8"/>
    <w:rsid w:val="00AF2354"/>
    <w:rsid w:val="00AF626E"/>
    <w:rsid w:val="00B22020"/>
    <w:rsid w:val="00B93FC8"/>
    <w:rsid w:val="00BF7CEE"/>
    <w:rsid w:val="00C131EE"/>
    <w:rsid w:val="00CA6B53"/>
    <w:rsid w:val="00CB55C8"/>
    <w:rsid w:val="00CD2751"/>
    <w:rsid w:val="00CD4DD8"/>
    <w:rsid w:val="00CE17CB"/>
    <w:rsid w:val="00CE5260"/>
    <w:rsid w:val="00D056D9"/>
    <w:rsid w:val="00D17D28"/>
    <w:rsid w:val="00D3698F"/>
    <w:rsid w:val="00D47882"/>
    <w:rsid w:val="00D86B7C"/>
    <w:rsid w:val="00DC035B"/>
    <w:rsid w:val="00DE3844"/>
    <w:rsid w:val="00DF19D7"/>
    <w:rsid w:val="00E0101D"/>
    <w:rsid w:val="00E06BEF"/>
    <w:rsid w:val="00E121FD"/>
    <w:rsid w:val="00E20AF8"/>
    <w:rsid w:val="00E25482"/>
    <w:rsid w:val="00EA25BF"/>
    <w:rsid w:val="00F21071"/>
    <w:rsid w:val="00F46BAD"/>
    <w:rsid w:val="00F46F15"/>
    <w:rsid w:val="00F93970"/>
    <w:rsid w:val="00FA2EED"/>
    <w:rsid w:val="00FA7F07"/>
    <w:rsid w:val="00FB0DF2"/>
    <w:rsid w:val="00FC7A7F"/>
    <w:rsid w:val="00FD3540"/>
    <w:rsid w:val="00FD49A5"/>
    <w:rsid w:val="00FE1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2023-03-20T15:12:00Z</dcterms:created>
  <dcterms:modified xsi:type="dcterms:W3CDTF">2023-03-20T15:12:00Z</dcterms:modified>
</cp:coreProperties>
</file>