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0D3A" w14:textId="0DE6752E" w:rsidR="00346641" w:rsidRDefault="00346641" w:rsidP="00346641">
      <w:pPr>
        <w:jc w:val="center"/>
        <w:rPr>
          <w:b/>
          <w:bCs/>
          <w:sz w:val="44"/>
          <w:szCs w:val="44"/>
        </w:rPr>
      </w:pPr>
      <w:r w:rsidRPr="00346641">
        <w:rPr>
          <w:b/>
          <w:bCs/>
          <w:sz w:val="44"/>
          <w:szCs w:val="44"/>
        </w:rPr>
        <w:t>INSURANCE CLAUSE IN EPC CONTRACT</w:t>
      </w:r>
    </w:p>
    <w:p w14:paraId="027723B7" w14:textId="77777777" w:rsidR="008E2E16" w:rsidRDefault="008E2E16" w:rsidP="00346641">
      <w:pPr>
        <w:jc w:val="center"/>
        <w:rPr>
          <w:b/>
          <w:bCs/>
          <w:sz w:val="44"/>
          <w:szCs w:val="44"/>
        </w:rPr>
      </w:pPr>
    </w:p>
    <w:p w14:paraId="0BD630C7" w14:textId="77777777" w:rsidR="008E2E16" w:rsidRPr="00346641" w:rsidRDefault="008E2E16" w:rsidP="00346641">
      <w:pPr>
        <w:jc w:val="center"/>
        <w:rPr>
          <w:b/>
          <w:bCs/>
          <w:sz w:val="44"/>
          <w:szCs w:val="44"/>
        </w:rPr>
      </w:pPr>
    </w:p>
    <w:p w14:paraId="30B95BC2" w14:textId="77777777" w:rsidR="00346641" w:rsidRDefault="00346641" w:rsidP="00346641">
      <w:pPr>
        <w:pStyle w:val="Heading2"/>
        <w:numPr>
          <w:ilvl w:val="0"/>
          <w:numId w:val="1"/>
        </w:numPr>
        <w:tabs>
          <w:tab w:val="num" w:pos="360"/>
        </w:tabs>
        <w:ind w:left="0" w:hanging="578"/>
      </w:pPr>
      <w:bookmarkStart w:id="0" w:name="_Toc224520806"/>
      <w:commentRangeStart w:id="1"/>
      <w:r>
        <w:t>Contractor’s Insurance</w:t>
      </w:r>
      <w:bookmarkEnd w:id="0"/>
      <w:commentRangeEnd w:id="1"/>
      <w:r>
        <w:rPr>
          <w:rStyle w:val="CommentReference"/>
          <w:sz w:val="24"/>
          <w:szCs w:val="24"/>
        </w:rPr>
        <w:commentReference w:id="1"/>
      </w:r>
    </w:p>
    <w:p w14:paraId="5201E0CA" w14:textId="77777777" w:rsidR="00346641" w:rsidRDefault="00346641" w:rsidP="00346641">
      <w:pPr>
        <w:pStyle w:val="ListParagraph"/>
        <w:numPr>
          <w:ilvl w:val="1"/>
          <w:numId w:val="2"/>
        </w:numPr>
        <w:spacing w:after="200" w:line="276" w:lineRule="auto"/>
        <w:ind w:left="1134" w:hanging="425"/>
        <w:contextualSpacing w:val="0"/>
        <w:jc w:val="both"/>
      </w:pPr>
      <w:r>
        <w:t>The Contractor shall obtain and maintain, at its own cost and expense, the insurance coverage set forth in Schedule F throughout the performance of the Work until the issuance of the Taking-Over Certificate for the Works, with reputable insurers acceptable to the Owner. Such insurance shall include, at a minimum:</w:t>
      </w:r>
    </w:p>
    <w:p w14:paraId="2D1991E1" w14:textId="77777777" w:rsidR="00346641" w:rsidRDefault="00346641" w:rsidP="00346641">
      <w:pPr>
        <w:pStyle w:val="ListParagraph"/>
        <w:numPr>
          <w:ilvl w:val="0"/>
          <w:numId w:val="3"/>
        </w:numPr>
        <w:spacing w:after="200" w:line="276" w:lineRule="auto"/>
        <w:ind w:left="1701" w:hanging="621"/>
        <w:contextualSpacing w:val="0"/>
        <w:jc w:val="both"/>
      </w:pPr>
      <w:r>
        <w:t>Contractor’s All-Risk / Construction All-Risk Insurance;</w:t>
      </w:r>
    </w:p>
    <w:p w14:paraId="48FE3F2D" w14:textId="77777777" w:rsidR="00346641" w:rsidRDefault="00346641" w:rsidP="00346641">
      <w:pPr>
        <w:pStyle w:val="ListParagraph"/>
        <w:numPr>
          <w:ilvl w:val="0"/>
          <w:numId w:val="3"/>
        </w:numPr>
        <w:spacing w:after="200" w:line="276" w:lineRule="auto"/>
        <w:ind w:left="1701" w:hanging="621"/>
        <w:contextualSpacing w:val="0"/>
        <w:jc w:val="both"/>
      </w:pPr>
      <w:r>
        <w:t>Third Party Liability Insurance;</w:t>
      </w:r>
    </w:p>
    <w:p w14:paraId="5CCA8467" w14:textId="77777777" w:rsidR="00346641" w:rsidRDefault="00346641" w:rsidP="00346641">
      <w:pPr>
        <w:pStyle w:val="ListParagraph"/>
        <w:numPr>
          <w:ilvl w:val="0"/>
          <w:numId w:val="3"/>
        </w:numPr>
        <w:spacing w:after="200" w:line="276" w:lineRule="auto"/>
        <w:ind w:left="1701" w:hanging="621"/>
        <w:contextualSpacing w:val="0"/>
        <w:jc w:val="both"/>
      </w:pPr>
      <w:r>
        <w:t>Workers’ Compensation and Owner’s Liability Insurance;</w:t>
      </w:r>
    </w:p>
    <w:p w14:paraId="60464233" w14:textId="77777777" w:rsidR="00346641" w:rsidRDefault="00346641" w:rsidP="00346641">
      <w:pPr>
        <w:pStyle w:val="ListParagraph"/>
        <w:numPr>
          <w:ilvl w:val="0"/>
          <w:numId w:val="3"/>
        </w:numPr>
        <w:spacing w:after="200" w:line="276" w:lineRule="auto"/>
        <w:ind w:left="1701" w:hanging="621"/>
        <w:contextualSpacing w:val="0"/>
        <w:jc w:val="both"/>
      </w:pPr>
      <w:commentRangeStart w:id="2"/>
      <w:commentRangeStart w:id="3"/>
      <w:r>
        <w:t>Professional Indemnity Insurance;</w:t>
      </w:r>
      <w:commentRangeEnd w:id="2"/>
      <w:r>
        <w:rPr>
          <w:rStyle w:val="CommentReference"/>
        </w:rPr>
        <w:commentReference w:id="2"/>
      </w:r>
      <w:commentRangeEnd w:id="3"/>
      <w:r>
        <w:rPr>
          <w:rStyle w:val="CommentReference"/>
        </w:rPr>
        <w:commentReference w:id="3"/>
      </w:r>
    </w:p>
    <w:p w14:paraId="0266961E" w14:textId="77777777" w:rsidR="00346641" w:rsidRDefault="00346641" w:rsidP="00346641">
      <w:pPr>
        <w:pStyle w:val="ListParagraph"/>
        <w:numPr>
          <w:ilvl w:val="0"/>
          <w:numId w:val="3"/>
        </w:numPr>
        <w:spacing w:after="200" w:line="276" w:lineRule="auto"/>
        <w:ind w:left="1701" w:hanging="621"/>
        <w:contextualSpacing w:val="0"/>
        <w:jc w:val="both"/>
      </w:pPr>
      <w:r>
        <w:t>Marine Cargo and Transit Insurance (for Equipment in transit from China to Nigerian Port only, the owner shall be responsible for insurance for equipment in transit from port to site);</w:t>
      </w:r>
    </w:p>
    <w:p w14:paraId="3499AC7B" w14:textId="77777777" w:rsidR="00346641" w:rsidRDefault="00346641" w:rsidP="00346641">
      <w:pPr>
        <w:pStyle w:val="ListParagraph"/>
        <w:numPr>
          <w:ilvl w:val="0"/>
          <w:numId w:val="3"/>
        </w:numPr>
        <w:spacing w:after="200" w:line="276" w:lineRule="auto"/>
        <w:ind w:left="1701" w:hanging="621"/>
        <w:contextualSpacing w:val="0"/>
        <w:jc w:val="both"/>
      </w:pPr>
      <w:r>
        <w:t>Motor Vehicle Liability Insurance; and</w:t>
      </w:r>
    </w:p>
    <w:p w14:paraId="067AAB47" w14:textId="77777777" w:rsidR="00346641" w:rsidRDefault="00346641" w:rsidP="00346641">
      <w:pPr>
        <w:pStyle w:val="ListParagraph"/>
        <w:numPr>
          <w:ilvl w:val="0"/>
          <w:numId w:val="3"/>
        </w:numPr>
        <w:spacing w:after="200" w:line="276" w:lineRule="auto"/>
        <w:ind w:left="1701" w:hanging="621"/>
        <w:contextualSpacing w:val="0"/>
        <w:jc w:val="both"/>
      </w:pPr>
      <w:r>
        <w:t>Such other insurance as may be required by Applicable Law or specified in Schedule F.</w:t>
      </w:r>
    </w:p>
    <w:p w14:paraId="2B097CF0" w14:textId="77777777" w:rsidR="00346641" w:rsidRDefault="00346641" w:rsidP="00346641">
      <w:pPr>
        <w:pStyle w:val="ListParagraph"/>
        <w:numPr>
          <w:ilvl w:val="1"/>
          <w:numId w:val="2"/>
        </w:numPr>
        <w:spacing w:after="200" w:line="276" w:lineRule="auto"/>
        <w:ind w:left="1134" w:hanging="425"/>
        <w:contextualSpacing w:val="0"/>
        <w:jc w:val="both"/>
      </w:pPr>
      <w:r>
        <w:t xml:space="preserve">All policies shall name the Owner as an additional insured and/or loss payee, as applicable. All policies shall contain waivers of subrogation in </w:t>
      </w:r>
      <w:commentRangeStart w:id="4"/>
      <w:commentRangeStart w:id="5"/>
      <w:proofErr w:type="spellStart"/>
      <w:r>
        <w:t>favour</w:t>
      </w:r>
      <w:commentRangeEnd w:id="4"/>
      <w:proofErr w:type="spellEnd"/>
      <w:r>
        <w:rPr>
          <w:rStyle w:val="CommentReference"/>
        </w:rPr>
        <w:commentReference w:id="4"/>
      </w:r>
      <w:commentRangeEnd w:id="5"/>
      <w:r>
        <w:rPr>
          <w:rStyle w:val="CommentReference"/>
        </w:rPr>
        <w:commentReference w:id="5"/>
      </w:r>
      <w:r>
        <w:t xml:space="preserve"> of the Owner Group. The Contractor shall provide the Owner with certificates of insurance and copies of policies upon request. </w:t>
      </w:r>
      <w:commentRangeStart w:id="6"/>
      <w:commentRangeEnd w:id="6"/>
      <w:r>
        <w:rPr>
          <w:rStyle w:val="CommentReference"/>
        </w:rPr>
        <w:commentReference w:id="6"/>
      </w:r>
    </w:p>
    <w:p w14:paraId="260ADB3B" w14:textId="77777777" w:rsidR="00346641" w:rsidRDefault="00346641" w:rsidP="00346641">
      <w:pPr>
        <w:pStyle w:val="ListParagraph"/>
        <w:numPr>
          <w:ilvl w:val="1"/>
          <w:numId w:val="2"/>
        </w:numPr>
        <w:spacing w:after="200" w:line="276" w:lineRule="auto"/>
        <w:ind w:left="1134" w:hanging="425"/>
        <w:contextualSpacing w:val="0"/>
        <w:jc w:val="both"/>
      </w:pPr>
      <w:r>
        <w:t>The Contractor shall not cancel, materially alter, or allow to lapse any required insurance without giving the Owner at least [thirty (30)] Days’ prior written notice.</w:t>
      </w:r>
    </w:p>
    <w:p w14:paraId="63A7A031" w14:textId="77777777" w:rsidR="00346641" w:rsidRDefault="00346641"/>
    <w:p w14:paraId="297CBDC5" w14:textId="77777777" w:rsidR="00346641" w:rsidRDefault="00346641" w:rsidP="00346641">
      <w:pPr>
        <w:pStyle w:val="Heading2"/>
        <w:ind w:left="360"/>
      </w:pPr>
      <w:bookmarkStart w:id="7" w:name="_Toc224520824"/>
    </w:p>
    <w:p w14:paraId="30C72C49" w14:textId="77A1CED1" w:rsidR="00346641" w:rsidRDefault="00346641" w:rsidP="00346641">
      <w:pPr>
        <w:pStyle w:val="Heading2"/>
        <w:numPr>
          <w:ilvl w:val="1"/>
          <w:numId w:val="4"/>
        </w:numPr>
      </w:pPr>
      <w:r>
        <w:t>Owner’s Insurance</w:t>
      </w:r>
      <w:bookmarkEnd w:id="7"/>
    </w:p>
    <w:p w14:paraId="63FAAF0E" w14:textId="77777777" w:rsidR="00346641" w:rsidRDefault="00346641" w:rsidP="00346641">
      <w:pPr>
        <w:spacing w:after="200" w:line="276" w:lineRule="auto"/>
        <w:ind w:left="720"/>
        <w:jc w:val="both"/>
      </w:pPr>
      <w:r>
        <w:t>The Owner shall obtain and maintain, at its own cost, any insurance required for the Owner’s own operations and property at or near the Site, as specified in Schedule F. Such insurance may include, at the Owner’s discretion, Delay in Start-Up (DSU) insurance.</w:t>
      </w:r>
    </w:p>
    <w:p w14:paraId="173A55D6" w14:textId="77777777" w:rsidR="00346641" w:rsidRDefault="00346641" w:rsidP="00346641">
      <w:pPr>
        <w:spacing w:after="200" w:line="276" w:lineRule="auto"/>
        <w:ind w:left="720"/>
        <w:jc w:val="both"/>
      </w:pPr>
    </w:p>
    <w:p w14:paraId="0796CC28" w14:textId="77777777" w:rsidR="008E2E16" w:rsidRDefault="008E2E16" w:rsidP="00346641">
      <w:pPr>
        <w:spacing w:after="200" w:line="276" w:lineRule="auto"/>
        <w:ind w:left="720"/>
        <w:jc w:val="both"/>
      </w:pPr>
    </w:p>
    <w:p w14:paraId="3420C197" w14:textId="77777777" w:rsidR="008E2E16" w:rsidRDefault="008E2E16" w:rsidP="00346641">
      <w:pPr>
        <w:spacing w:after="200" w:line="276" w:lineRule="auto"/>
        <w:ind w:left="720"/>
        <w:jc w:val="both"/>
      </w:pPr>
    </w:p>
    <w:p w14:paraId="3070A329" w14:textId="77777777" w:rsidR="008E2E16" w:rsidRDefault="008E2E16" w:rsidP="00346641">
      <w:pPr>
        <w:spacing w:after="200" w:line="276" w:lineRule="auto"/>
        <w:ind w:left="720"/>
        <w:jc w:val="both"/>
      </w:pPr>
    </w:p>
    <w:p w14:paraId="0BF7D843" w14:textId="77777777" w:rsidR="008E2E16" w:rsidRDefault="008E2E16" w:rsidP="00346641">
      <w:pPr>
        <w:spacing w:after="200" w:line="276" w:lineRule="auto"/>
        <w:ind w:left="720"/>
        <w:jc w:val="both"/>
      </w:pPr>
    </w:p>
    <w:tbl>
      <w:tblPr>
        <w:tblpPr w:leftFromText="180" w:rightFromText="180" w:vertAnchor="text" w:horzAnchor="page" w:tblpX="791" w:tblpY="1406"/>
        <w:tblW w:w="5810" w:type="pct"/>
        <w:tblLayout w:type="fixed"/>
        <w:tblLook w:val="04A0" w:firstRow="1" w:lastRow="0" w:firstColumn="1" w:lastColumn="0" w:noHBand="0" w:noVBand="1"/>
      </w:tblPr>
      <w:tblGrid>
        <w:gridCol w:w="1264"/>
        <w:gridCol w:w="2215"/>
        <w:gridCol w:w="421"/>
        <w:gridCol w:w="2563"/>
        <w:gridCol w:w="932"/>
        <w:gridCol w:w="528"/>
        <w:gridCol w:w="634"/>
        <w:gridCol w:w="528"/>
        <w:gridCol w:w="636"/>
        <w:gridCol w:w="528"/>
        <w:gridCol w:w="610"/>
      </w:tblGrid>
      <w:tr w:rsidR="008E2E16" w:rsidRPr="006B6714" w14:paraId="7B4E3D22" w14:textId="77777777" w:rsidTr="008E2E16">
        <w:trPr>
          <w:trHeight w:val="410"/>
        </w:trPr>
        <w:tc>
          <w:tcPr>
            <w:tcW w:w="582" w:type="pct"/>
            <w:vMerge w:val="restart"/>
            <w:tcBorders>
              <w:top w:val="nil"/>
              <w:left w:val="single" w:sz="4" w:space="0" w:color="auto"/>
              <w:bottom w:val="single" w:sz="4" w:space="0" w:color="000000"/>
              <w:right w:val="single" w:sz="4" w:space="0" w:color="auto"/>
            </w:tcBorders>
            <w:vAlign w:val="center"/>
            <w:hideMark/>
          </w:tcPr>
          <w:p w14:paraId="33489978" w14:textId="77777777" w:rsidR="008E2E16" w:rsidRPr="006B6714" w:rsidRDefault="008E2E16" w:rsidP="008E2E16">
            <w:pPr>
              <w:jc w:val="center"/>
              <w:rPr>
                <w:rFonts w:ascii="Calibri" w:hAnsi="Calibri" w:cs="Calibri"/>
                <w:b/>
                <w:bCs/>
                <w:color w:val="000000"/>
                <w:sz w:val="20"/>
                <w:szCs w:val="20"/>
                <w:lang/>
              </w:rPr>
            </w:pPr>
            <w:bookmarkStart w:id="8" w:name="_Toc224520905"/>
            <w:r w:rsidRPr="006B6714">
              <w:rPr>
                <w:rFonts w:ascii="Calibri" w:hAnsi="Calibri" w:cs="Calibri"/>
                <w:b/>
                <w:bCs/>
                <w:color w:val="000000"/>
                <w:sz w:val="20"/>
                <w:szCs w:val="20"/>
                <w:lang/>
              </w:rPr>
              <w:t>Transportation</w:t>
            </w:r>
          </w:p>
        </w:tc>
        <w:tc>
          <w:tcPr>
            <w:tcW w:w="1020" w:type="pct"/>
            <w:tcBorders>
              <w:top w:val="nil"/>
              <w:left w:val="nil"/>
              <w:bottom w:val="single" w:sz="4" w:space="0" w:color="auto"/>
              <w:right w:val="single" w:sz="4" w:space="0" w:color="auto"/>
            </w:tcBorders>
            <w:noWrap/>
            <w:vAlign w:val="center"/>
          </w:tcPr>
          <w:p w14:paraId="03346F15" w14:textId="77777777" w:rsidR="008E2E16" w:rsidRPr="006B6714" w:rsidRDefault="008E2E16" w:rsidP="008E2E16">
            <w:pPr>
              <w:rPr>
                <w:rFonts w:ascii="Calibri" w:hAnsi="Calibri" w:cs="Calibri"/>
                <w:color w:val="000000"/>
                <w:sz w:val="20"/>
                <w:szCs w:val="20"/>
                <w:lang/>
              </w:rPr>
            </w:pPr>
          </w:p>
        </w:tc>
        <w:tc>
          <w:tcPr>
            <w:tcW w:w="194" w:type="pct"/>
            <w:tcBorders>
              <w:top w:val="nil"/>
              <w:left w:val="nil"/>
              <w:bottom w:val="single" w:sz="4" w:space="0" w:color="auto"/>
              <w:right w:val="single" w:sz="4" w:space="0" w:color="auto"/>
            </w:tcBorders>
            <w:noWrap/>
            <w:vAlign w:val="center"/>
          </w:tcPr>
          <w:p w14:paraId="0D962DFB" w14:textId="77777777" w:rsidR="008E2E16" w:rsidRPr="006B6714" w:rsidRDefault="008E2E16" w:rsidP="008E2E16">
            <w:pPr>
              <w:jc w:val="center"/>
              <w:rPr>
                <w:rFonts w:ascii="Calibri" w:hAnsi="Calibri" w:cs="Calibri"/>
                <w:color w:val="000000"/>
                <w:sz w:val="20"/>
                <w:szCs w:val="20"/>
                <w:lang/>
              </w:rPr>
            </w:pPr>
          </w:p>
        </w:tc>
        <w:tc>
          <w:tcPr>
            <w:tcW w:w="1180" w:type="pct"/>
            <w:tcBorders>
              <w:top w:val="nil"/>
              <w:left w:val="nil"/>
              <w:bottom w:val="single" w:sz="4" w:space="0" w:color="auto"/>
              <w:right w:val="single" w:sz="4" w:space="0" w:color="auto"/>
            </w:tcBorders>
            <w:vAlign w:val="center"/>
          </w:tcPr>
          <w:p w14:paraId="556EB640" w14:textId="77777777" w:rsidR="008E2E16" w:rsidRPr="006B6714" w:rsidRDefault="008E2E16" w:rsidP="008E2E16">
            <w:pPr>
              <w:rPr>
                <w:rFonts w:ascii="Calibri" w:hAnsi="Calibri" w:cs="Calibri"/>
                <w:color w:val="000000"/>
                <w:sz w:val="20"/>
                <w:szCs w:val="20"/>
                <w:lang/>
              </w:rPr>
            </w:pPr>
          </w:p>
        </w:tc>
        <w:tc>
          <w:tcPr>
            <w:tcW w:w="429" w:type="pct"/>
            <w:tcBorders>
              <w:top w:val="nil"/>
              <w:left w:val="nil"/>
              <w:bottom w:val="single" w:sz="4" w:space="0" w:color="auto"/>
              <w:right w:val="single" w:sz="4" w:space="0" w:color="auto"/>
            </w:tcBorders>
            <w:vAlign w:val="center"/>
          </w:tcPr>
          <w:p w14:paraId="13528B58" w14:textId="77777777" w:rsidR="008E2E16" w:rsidRPr="006B6714" w:rsidRDefault="008E2E16" w:rsidP="008E2E16">
            <w:pPr>
              <w:jc w:val="right"/>
              <w:rPr>
                <w:rFonts w:ascii="Calibri" w:hAnsi="Calibri" w:cs="Calibri"/>
                <w:color w:val="000000"/>
                <w:sz w:val="20"/>
                <w:szCs w:val="20"/>
                <w:lang/>
              </w:rPr>
            </w:pPr>
          </w:p>
        </w:tc>
        <w:tc>
          <w:tcPr>
            <w:tcW w:w="243" w:type="pct"/>
            <w:tcBorders>
              <w:top w:val="nil"/>
              <w:left w:val="nil"/>
              <w:bottom w:val="single" w:sz="4" w:space="0" w:color="auto"/>
              <w:right w:val="single" w:sz="4" w:space="0" w:color="auto"/>
            </w:tcBorders>
            <w:vAlign w:val="center"/>
          </w:tcPr>
          <w:p w14:paraId="60B87D7E" w14:textId="77777777" w:rsidR="008E2E16" w:rsidRPr="006B6714" w:rsidRDefault="008E2E16" w:rsidP="008E2E16">
            <w:pPr>
              <w:jc w:val="center"/>
              <w:rPr>
                <w:rFonts w:ascii="SimSun" w:hAnsi="SimSun"/>
                <w:color w:val="000000"/>
                <w:sz w:val="20"/>
                <w:szCs w:val="20"/>
                <w:lang/>
              </w:rPr>
            </w:pPr>
          </w:p>
        </w:tc>
        <w:tc>
          <w:tcPr>
            <w:tcW w:w="292" w:type="pct"/>
            <w:tcBorders>
              <w:top w:val="nil"/>
              <w:left w:val="nil"/>
              <w:bottom w:val="single" w:sz="4" w:space="0" w:color="auto"/>
              <w:right w:val="single" w:sz="4" w:space="0" w:color="auto"/>
            </w:tcBorders>
            <w:vAlign w:val="center"/>
          </w:tcPr>
          <w:p w14:paraId="20B33267" w14:textId="77777777" w:rsidR="008E2E16" w:rsidRPr="006B6714" w:rsidRDefault="008E2E16" w:rsidP="008E2E16">
            <w:pPr>
              <w:jc w:val="center"/>
              <w:rPr>
                <w:rFonts w:ascii="Calibri" w:hAnsi="Calibri" w:cs="Calibri"/>
                <w:color w:val="000000"/>
                <w:sz w:val="20"/>
                <w:szCs w:val="20"/>
                <w:lang/>
              </w:rPr>
            </w:pPr>
          </w:p>
        </w:tc>
        <w:tc>
          <w:tcPr>
            <w:tcW w:w="243" w:type="pct"/>
            <w:tcBorders>
              <w:top w:val="nil"/>
              <w:left w:val="nil"/>
              <w:bottom w:val="single" w:sz="4" w:space="0" w:color="auto"/>
              <w:right w:val="single" w:sz="4" w:space="0" w:color="auto"/>
            </w:tcBorders>
            <w:vAlign w:val="center"/>
          </w:tcPr>
          <w:p w14:paraId="15A154EA" w14:textId="77777777" w:rsidR="008E2E16" w:rsidRPr="006B6714" w:rsidRDefault="008E2E16" w:rsidP="008E2E16">
            <w:pPr>
              <w:jc w:val="center"/>
              <w:rPr>
                <w:rFonts w:ascii="SimSun" w:hAnsi="SimSun"/>
                <w:color w:val="000000"/>
                <w:sz w:val="20"/>
                <w:szCs w:val="20"/>
                <w:lang/>
              </w:rPr>
            </w:pPr>
          </w:p>
        </w:tc>
        <w:tc>
          <w:tcPr>
            <w:tcW w:w="293" w:type="pct"/>
            <w:tcBorders>
              <w:top w:val="nil"/>
              <w:left w:val="nil"/>
              <w:bottom w:val="single" w:sz="4" w:space="0" w:color="auto"/>
              <w:right w:val="single" w:sz="4" w:space="0" w:color="auto"/>
            </w:tcBorders>
            <w:vAlign w:val="center"/>
          </w:tcPr>
          <w:p w14:paraId="69435106" w14:textId="77777777" w:rsidR="008E2E16" w:rsidRPr="006B6714" w:rsidRDefault="008E2E16" w:rsidP="008E2E16">
            <w:pPr>
              <w:jc w:val="center"/>
              <w:rPr>
                <w:rFonts w:ascii="Calibri" w:hAnsi="Calibri" w:cs="Calibri"/>
                <w:color w:val="000000"/>
                <w:sz w:val="20"/>
                <w:szCs w:val="20"/>
                <w:lang/>
              </w:rPr>
            </w:pPr>
          </w:p>
        </w:tc>
        <w:tc>
          <w:tcPr>
            <w:tcW w:w="243" w:type="pct"/>
            <w:tcBorders>
              <w:top w:val="nil"/>
              <w:left w:val="nil"/>
              <w:bottom w:val="single" w:sz="4" w:space="0" w:color="auto"/>
              <w:right w:val="single" w:sz="4" w:space="0" w:color="auto"/>
            </w:tcBorders>
            <w:vAlign w:val="center"/>
          </w:tcPr>
          <w:p w14:paraId="56883FF9" w14:textId="77777777" w:rsidR="008E2E16" w:rsidRPr="006B6714" w:rsidRDefault="008E2E16" w:rsidP="008E2E16">
            <w:pPr>
              <w:jc w:val="center"/>
              <w:rPr>
                <w:rFonts w:ascii="SimSun" w:hAnsi="SimSun"/>
                <w:color w:val="000000"/>
                <w:sz w:val="20"/>
                <w:szCs w:val="20"/>
                <w:lang/>
              </w:rPr>
            </w:pPr>
          </w:p>
        </w:tc>
        <w:tc>
          <w:tcPr>
            <w:tcW w:w="281" w:type="pct"/>
            <w:tcBorders>
              <w:top w:val="nil"/>
              <w:left w:val="nil"/>
              <w:bottom w:val="single" w:sz="4" w:space="0" w:color="auto"/>
              <w:right w:val="single" w:sz="8" w:space="0" w:color="auto"/>
            </w:tcBorders>
            <w:vAlign w:val="center"/>
          </w:tcPr>
          <w:p w14:paraId="440B29C5" w14:textId="77777777" w:rsidR="008E2E16" w:rsidRPr="006B6714" w:rsidRDefault="008E2E16" w:rsidP="008E2E16">
            <w:pPr>
              <w:jc w:val="center"/>
              <w:rPr>
                <w:rFonts w:ascii="Calibri" w:hAnsi="Calibri" w:cs="Calibri"/>
                <w:color w:val="000000"/>
                <w:sz w:val="20"/>
                <w:szCs w:val="20"/>
                <w:lang/>
              </w:rPr>
            </w:pPr>
          </w:p>
        </w:tc>
      </w:tr>
      <w:tr w:rsidR="008E2E16" w:rsidRPr="006B6714" w14:paraId="72496425" w14:textId="77777777" w:rsidTr="008E2E16">
        <w:trPr>
          <w:trHeight w:val="1661"/>
        </w:trPr>
        <w:tc>
          <w:tcPr>
            <w:tcW w:w="582" w:type="pct"/>
            <w:vMerge/>
            <w:tcBorders>
              <w:top w:val="nil"/>
              <w:left w:val="single" w:sz="4" w:space="0" w:color="auto"/>
              <w:bottom w:val="single" w:sz="4" w:space="0" w:color="000000"/>
              <w:right w:val="single" w:sz="4" w:space="0" w:color="auto"/>
            </w:tcBorders>
            <w:vAlign w:val="center"/>
            <w:hideMark/>
          </w:tcPr>
          <w:p w14:paraId="038C4800" w14:textId="77777777" w:rsidR="008E2E16" w:rsidRPr="006B6714" w:rsidRDefault="008E2E16" w:rsidP="008E2E16">
            <w:pPr>
              <w:rPr>
                <w:rFonts w:ascii="Calibri" w:hAnsi="Calibri" w:cs="Calibri"/>
                <w:b/>
                <w:bCs/>
                <w:color w:val="000000"/>
                <w:sz w:val="20"/>
                <w:szCs w:val="20"/>
                <w:lang/>
              </w:rPr>
            </w:pPr>
          </w:p>
        </w:tc>
        <w:tc>
          <w:tcPr>
            <w:tcW w:w="1020" w:type="pct"/>
            <w:tcBorders>
              <w:top w:val="nil"/>
              <w:left w:val="nil"/>
              <w:bottom w:val="single" w:sz="4" w:space="0" w:color="auto"/>
              <w:right w:val="single" w:sz="4" w:space="0" w:color="auto"/>
            </w:tcBorders>
            <w:noWrap/>
            <w:vAlign w:val="center"/>
            <w:hideMark/>
          </w:tcPr>
          <w:p w14:paraId="37B2EB36" w14:textId="77777777" w:rsidR="008E2E16" w:rsidRPr="006B6714" w:rsidRDefault="008E2E16" w:rsidP="008E2E16">
            <w:pPr>
              <w:rPr>
                <w:rFonts w:ascii="Calibri" w:hAnsi="Calibri" w:cs="Calibri"/>
                <w:color w:val="000000"/>
                <w:sz w:val="20"/>
                <w:szCs w:val="20"/>
                <w:lang/>
              </w:rPr>
            </w:pPr>
            <w:r w:rsidRPr="006B6714">
              <w:rPr>
                <w:rFonts w:ascii="Calibri" w:hAnsi="Calibri" w:cs="Calibri"/>
                <w:color w:val="000000"/>
                <w:sz w:val="20"/>
                <w:szCs w:val="20"/>
                <w:lang/>
              </w:rPr>
              <w:t>Nigerian local transportation</w:t>
            </w:r>
          </w:p>
        </w:tc>
        <w:tc>
          <w:tcPr>
            <w:tcW w:w="194" w:type="pct"/>
            <w:tcBorders>
              <w:top w:val="nil"/>
              <w:left w:val="nil"/>
              <w:bottom w:val="single" w:sz="4" w:space="0" w:color="auto"/>
              <w:right w:val="single" w:sz="4" w:space="0" w:color="auto"/>
            </w:tcBorders>
            <w:noWrap/>
            <w:vAlign w:val="center"/>
            <w:hideMark/>
          </w:tcPr>
          <w:p w14:paraId="65F64DD5" w14:textId="77777777" w:rsidR="008E2E16" w:rsidRPr="006B6714" w:rsidRDefault="008E2E16" w:rsidP="008E2E16">
            <w:pPr>
              <w:jc w:val="center"/>
              <w:rPr>
                <w:rFonts w:ascii="Calibri" w:hAnsi="Calibri" w:cs="Calibri"/>
                <w:color w:val="000000"/>
                <w:sz w:val="20"/>
                <w:szCs w:val="20"/>
                <w:lang/>
              </w:rPr>
            </w:pPr>
            <w:r w:rsidRPr="006B6714">
              <w:rPr>
                <w:rFonts w:ascii="Calibri" w:hAnsi="Calibri" w:cs="Calibri"/>
                <w:color w:val="000000"/>
                <w:sz w:val="20"/>
                <w:szCs w:val="20"/>
                <w:lang/>
              </w:rPr>
              <w:t>1</w:t>
            </w:r>
          </w:p>
        </w:tc>
        <w:tc>
          <w:tcPr>
            <w:tcW w:w="1180" w:type="pct"/>
            <w:tcBorders>
              <w:top w:val="nil"/>
              <w:left w:val="nil"/>
              <w:bottom w:val="single" w:sz="4" w:space="0" w:color="auto"/>
              <w:right w:val="single" w:sz="4" w:space="0" w:color="auto"/>
            </w:tcBorders>
            <w:vAlign w:val="center"/>
            <w:hideMark/>
          </w:tcPr>
          <w:p w14:paraId="3514CEB4" w14:textId="77777777" w:rsidR="008E2E16" w:rsidRPr="006B6714" w:rsidRDefault="008E2E16" w:rsidP="008E2E16">
            <w:pPr>
              <w:rPr>
                <w:rFonts w:ascii="Calibri" w:hAnsi="Calibri" w:cs="Calibri"/>
                <w:color w:val="000000"/>
                <w:sz w:val="20"/>
                <w:szCs w:val="20"/>
                <w:lang/>
              </w:rPr>
            </w:pPr>
            <w:r w:rsidRPr="006B6714">
              <w:rPr>
                <w:rFonts w:ascii="Calibri" w:hAnsi="Calibri" w:cs="Calibri"/>
                <w:color w:val="000000"/>
                <w:sz w:val="20"/>
                <w:szCs w:val="20"/>
                <w:lang/>
              </w:rPr>
              <w:t>The Owner/client shall be responsible for custom clearance at the port of delivery (Apapa or other port) and shall be responsible for transporting all equipment from the port of delivery to the project site. The Owner/client shall bear all the cost including transportation, security, insurance, etc.</w:t>
            </w:r>
          </w:p>
        </w:tc>
        <w:tc>
          <w:tcPr>
            <w:tcW w:w="429" w:type="pct"/>
            <w:tcBorders>
              <w:top w:val="nil"/>
              <w:left w:val="nil"/>
              <w:bottom w:val="single" w:sz="4" w:space="0" w:color="auto"/>
              <w:right w:val="single" w:sz="4" w:space="0" w:color="auto"/>
            </w:tcBorders>
            <w:vAlign w:val="center"/>
            <w:hideMark/>
          </w:tcPr>
          <w:p w14:paraId="7A4A9F90" w14:textId="77777777" w:rsidR="008E2E16" w:rsidRPr="006B6714" w:rsidRDefault="008E2E16" w:rsidP="008E2E16">
            <w:pPr>
              <w:jc w:val="right"/>
              <w:rPr>
                <w:rFonts w:ascii="Calibri" w:hAnsi="Calibri" w:cs="Calibri"/>
                <w:color w:val="000000"/>
                <w:sz w:val="20"/>
                <w:szCs w:val="20"/>
                <w:lang/>
              </w:rPr>
            </w:pPr>
            <w:r w:rsidRPr="006B6714">
              <w:rPr>
                <w:rFonts w:ascii="Calibri" w:hAnsi="Calibri" w:cs="Calibri"/>
                <w:color w:val="000000"/>
                <w:sz w:val="20"/>
                <w:szCs w:val="20"/>
                <w:lang/>
              </w:rPr>
              <w:t xml:space="preserve">                  -   </w:t>
            </w:r>
          </w:p>
        </w:tc>
        <w:tc>
          <w:tcPr>
            <w:tcW w:w="243" w:type="pct"/>
            <w:tcBorders>
              <w:top w:val="nil"/>
              <w:left w:val="nil"/>
              <w:bottom w:val="single" w:sz="4" w:space="0" w:color="auto"/>
              <w:right w:val="single" w:sz="4" w:space="0" w:color="auto"/>
            </w:tcBorders>
            <w:vAlign w:val="center"/>
            <w:hideMark/>
          </w:tcPr>
          <w:p w14:paraId="1BD83ECA" w14:textId="77777777" w:rsidR="008E2E16" w:rsidRPr="006B6714" w:rsidRDefault="008E2E16" w:rsidP="008E2E16">
            <w:pPr>
              <w:jc w:val="center"/>
              <w:rPr>
                <w:rFonts w:ascii="Calibri" w:hAnsi="Calibri" w:cs="Calibri"/>
                <w:color w:val="000000"/>
                <w:sz w:val="20"/>
                <w:szCs w:val="20"/>
                <w:lang/>
              </w:rPr>
            </w:pPr>
            <w:r w:rsidRPr="006B6714">
              <w:rPr>
                <w:rFonts w:ascii="Calibri" w:hAnsi="Calibri" w:cs="Calibri"/>
                <w:color w:val="000000"/>
                <w:sz w:val="20"/>
                <w:szCs w:val="20"/>
                <w:lang/>
              </w:rPr>
              <w:t>×</w:t>
            </w:r>
          </w:p>
        </w:tc>
        <w:tc>
          <w:tcPr>
            <w:tcW w:w="292" w:type="pct"/>
            <w:tcBorders>
              <w:top w:val="nil"/>
              <w:left w:val="nil"/>
              <w:bottom w:val="single" w:sz="4" w:space="0" w:color="auto"/>
              <w:right w:val="single" w:sz="4" w:space="0" w:color="auto"/>
            </w:tcBorders>
            <w:vAlign w:val="center"/>
            <w:hideMark/>
          </w:tcPr>
          <w:p w14:paraId="51ED9F60" w14:textId="77777777" w:rsidR="008E2E16" w:rsidRPr="006B6714" w:rsidRDefault="008E2E16" w:rsidP="008E2E16">
            <w:pPr>
              <w:jc w:val="center"/>
              <w:rPr>
                <w:rFonts w:ascii="SimSun" w:hAnsi="SimSun"/>
                <w:color w:val="000000"/>
                <w:sz w:val="20"/>
                <w:szCs w:val="20"/>
                <w:lang/>
              </w:rPr>
            </w:pPr>
            <w:r w:rsidRPr="006B6714">
              <w:rPr>
                <w:rFonts w:ascii="MS Gothic" w:eastAsia="MS Gothic" w:hAnsi="MS Gothic" w:cs="MS Gothic" w:hint="eastAsia"/>
                <w:color w:val="000000"/>
                <w:sz w:val="20"/>
                <w:szCs w:val="20"/>
                <w:lang/>
              </w:rPr>
              <w:t>✓</w:t>
            </w:r>
          </w:p>
        </w:tc>
        <w:tc>
          <w:tcPr>
            <w:tcW w:w="243" w:type="pct"/>
            <w:tcBorders>
              <w:top w:val="nil"/>
              <w:left w:val="nil"/>
              <w:bottom w:val="single" w:sz="4" w:space="0" w:color="auto"/>
              <w:right w:val="single" w:sz="4" w:space="0" w:color="auto"/>
            </w:tcBorders>
            <w:vAlign w:val="center"/>
            <w:hideMark/>
          </w:tcPr>
          <w:p w14:paraId="24081778" w14:textId="77777777" w:rsidR="008E2E16" w:rsidRPr="006B6714" w:rsidRDefault="008E2E16" w:rsidP="008E2E16">
            <w:pPr>
              <w:jc w:val="center"/>
              <w:rPr>
                <w:rFonts w:ascii="Calibri" w:hAnsi="Calibri" w:cs="Calibri"/>
                <w:color w:val="000000"/>
                <w:sz w:val="20"/>
                <w:szCs w:val="20"/>
                <w:lang/>
              </w:rPr>
            </w:pPr>
            <w:r w:rsidRPr="006B6714">
              <w:rPr>
                <w:rFonts w:ascii="Calibri" w:hAnsi="Calibri" w:cs="Calibri"/>
                <w:color w:val="000000"/>
                <w:sz w:val="20"/>
                <w:szCs w:val="20"/>
                <w:lang/>
              </w:rPr>
              <w:t>×</w:t>
            </w:r>
          </w:p>
        </w:tc>
        <w:tc>
          <w:tcPr>
            <w:tcW w:w="293" w:type="pct"/>
            <w:tcBorders>
              <w:top w:val="nil"/>
              <w:left w:val="nil"/>
              <w:bottom w:val="single" w:sz="4" w:space="0" w:color="auto"/>
              <w:right w:val="single" w:sz="4" w:space="0" w:color="auto"/>
            </w:tcBorders>
            <w:vAlign w:val="center"/>
            <w:hideMark/>
          </w:tcPr>
          <w:p w14:paraId="65791827" w14:textId="77777777" w:rsidR="008E2E16" w:rsidRPr="006B6714" w:rsidRDefault="008E2E16" w:rsidP="008E2E16">
            <w:pPr>
              <w:jc w:val="center"/>
              <w:rPr>
                <w:rFonts w:ascii="SimSun" w:hAnsi="SimSun"/>
                <w:color w:val="000000"/>
                <w:sz w:val="20"/>
                <w:szCs w:val="20"/>
                <w:lang/>
              </w:rPr>
            </w:pPr>
            <w:r w:rsidRPr="006B6714">
              <w:rPr>
                <w:rFonts w:ascii="MS Gothic" w:eastAsia="MS Gothic" w:hAnsi="MS Gothic" w:cs="MS Gothic" w:hint="eastAsia"/>
                <w:color w:val="000000"/>
                <w:sz w:val="20"/>
                <w:szCs w:val="20"/>
                <w:lang/>
              </w:rPr>
              <w:t>✓</w:t>
            </w:r>
          </w:p>
        </w:tc>
        <w:tc>
          <w:tcPr>
            <w:tcW w:w="243" w:type="pct"/>
            <w:tcBorders>
              <w:top w:val="nil"/>
              <w:left w:val="nil"/>
              <w:bottom w:val="single" w:sz="4" w:space="0" w:color="auto"/>
              <w:right w:val="single" w:sz="4" w:space="0" w:color="auto"/>
            </w:tcBorders>
            <w:vAlign w:val="center"/>
            <w:hideMark/>
          </w:tcPr>
          <w:p w14:paraId="71A08DE5" w14:textId="77777777" w:rsidR="008E2E16" w:rsidRPr="006B6714" w:rsidRDefault="008E2E16" w:rsidP="008E2E16">
            <w:pPr>
              <w:jc w:val="center"/>
              <w:rPr>
                <w:rFonts w:ascii="Calibri" w:hAnsi="Calibri" w:cs="Calibri"/>
                <w:color w:val="000000"/>
                <w:sz w:val="20"/>
                <w:szCs w:val="20"/>
                <w:lang/>
              </w:rPr>
            </w:pPr>
            <w:r w:rsidRPr="006B6714">
              <w:rPr>
                <w:rFonts w:ascii="Calibri" w:hAnsi="Calibri" w:cs="Calibri"/>
                <w:color w:val="000000"/>
                <w:sz w:val="20"/>
                <w:szCs w:val="20"/>
                <w:lang/>
              </w:rPr>
              <w:t>×</w:t>
            </w:r>
          </w:p>
        </w:tc>
        <w:tc>
          <w:tcPr>
            <w:tcW w:w="281" w:type="pct"/>
            <w:tcBorders>
              <w:top w:val="nil"/>
              <w:left w:val="nil"/>
              <w:bottom w:val="single" w:sz="4" w:space="0" w:color="auto"/>
              <w:right w:val="single" w:sz="8" w:space="0" w:color="auto"/>
            </w:tcBorders>
            <w:vAlign w:val="center"/>
            <w:hideMark/>
          </w:tcPr>
          <w:p w14:paraId="37708274" w14:textId="77777777" w:rsidR="008E2E16" w:rsidRPr="006B6714" w:rsidRDefault="008E2E16" w:rsidP="008E2E16">
            <w:pPr>
              <w:jc w:val="center"/>
              <w:rPr>
                <w:rFonts w:ascii="SimSun" w:hAnsi="SimSun"/>
                <w:color w:val="000000"/>
                <w:sz w:val="20"/>
                <w:szCs w:val="20"/>
                <w:lang/>
              </w:rPr>
            </w:pPr>
            <w:r w:rsidRPr="006B6714">
              <w:rPr>
                <w:rFonts w:ascii="MS Gothic" w:eastAsia="MS Gothic" w:hAnsi="MS Gothic" w:cs="MS Gothic" w:hint="eastAsia"/>
                <w:color w:val="000000"/>
                <w:sz w:val="20"/>
                <w:szCs w:val="20"/>
                <w:lang/>
              </w:rPr>
              <w:t>✓</w:t>
            </w:r>
          </w:p>
        </w:tc>
      </w:tr>
    </w:tbl>
    <w:p w14:paraId="3AD8EDFA" w14:textId="77777777" w:rsidR="00346641" w:rsidRDefault="00346641" w:rsidP="00346641">
      <w:pPr>
        <w:pStyle w:val="Heading2"/>
        <w:spacing w:before="360" w:after="240"/>
      </w:pPr>
      <w:r>
        <w:rPr>
          <w:sz w:val="28"/>
          <w:szCs w:val="28"/>
        </w:rPr>
        <w:t>Schedule A-1: Scope of Work</w:t>
      </w:r>
      <w:bookmarkEnd w:id="8"/>
      <w:r>
        <w:rPr>
          <w:sz w:val="28"/>
          <w:szCs w:val="28"/>
        </w:rPr>
        <w:t xml:space="preserve"> and Contract Price</w:t>
      </w:r>
    </w:p>
    <w:p w14:paraId="188DCCC1" w14:textId="77777777" w:rsidR="00346641" w:rsidRDefault="00346641"/>
    <w:p w14:paraId="52713A28" w14:textId="586A1D77" w:rsidR="00346641" w:rsidRDefault="00346641"/>
    <w:p w14:paraId="7B7845F3" w14:textId="77777777" w:rsidR="00346641" w:rsidRDefault="00346641"/>
    <w:p w14:paraId="356B0BF9" w14:textId="77777777" w:rsidR="008E2E16" w:rsidRDefault="008E2E16"/>
    <w:p w14:paraId="181D63CC" w14:textId="77777777" w:rsidR="008E2E16" w:rsidRDefault="008E2E16"/>
    <w:p w14:paraId="6275A902" w14:textId="77777777" w:rsidR="008E2E16" w:rsidRDefault="008E2E16"/>
    <w:p w14:paraId="5BD7B006" w14:textId="77777777" w:rsidR="00346641" w:rsidRDefault="00346641" w:rsidP="00346641">
      <w:pPr>
        <w:pStyle w:val="Heading2"/>
        <w:spacing w:before="360" w:after="240"/>
      </w:pPr>
      <w:bookmarkStart w:id="9" w:name="_Toc224520912"/>
      <w:r>
        <w:rPr>
          <w:sz w:val="28"/>
          <w:szCs w:val="28"/>
        </w:rPr>
        <w:lastRenderedPageBreak/>
        <w:t>Schedule F: Insurance Requirements</w:t>
      </w:r>
      <w:bookmarkEnd w:id="9"/>
    </w:p>
    <w:p w14:paraId="7C88CFA3" w14:textId="77777777" w:rsidR="00346641" w:rsidRDefault="00346641" w:rsidP="00346641">
      <w:pPr>
        <w:spacing w:after="200" w:line="276" w:lineRule="auto"/>
        <w:jc w:val="both"/>
      </w:pPr>
      <w:r>
        <w:t>To be prepared by the Contractor for Owner approval. This Schedule shall specify:</w:t>
      </w:r>
    </w:p>
    <w:p w14:paraId="27928AEA" w14:textId="77777777" w:rsidR="00346641" w:rsidRDefault="00346641" w:rsidP="00346641">
      <w:pPr>
        <w:spacing w:after="200" w:line="276" w:lineRule="auto"/>
        <w:ind w:left="720"/>
        <w:jc w:val="both"/>
      </w:pPr>
      <w:r>
        <w:t>(a) Contractor’s required insurance types, minimum limits and deductibles</w:t>
      </w:r>
    </w:p>
    <w:p w14:paraId="3BE7FFA9" w14:textId="77777777" w:rsidR="00346641" w:rsidRDefault="00346641" w:rsidP="00346641">
      <w:pPr>
        <w:spacing w:after="200" w:line="276" w:lineRule="auto"/>
        <w:ind w:left="720"/>
        <w:jc w:val="both"/>
      </w:pPr>
      <w:r>
        <w:t>(b) Owner’s insurance (if applicable)</w:t>
      </w:r>
    </w:p>
    <w:p w14:paraId="33010B7F" w14:textId="268B8BC2" w:rsidR="00346641" w:rsidRDefault="00346641" w:rsidP="008E2E16">
      <w:pPr>
        <w:spacing w:after="200" w:line="276" w:lineRule="auto"/>
        <w:ind w:left="720"/>
        <w:jc w:val="both"/>
      </w:pPr>
      <w:r>
        <w:t>(c) General insurance requirements (additional insured, insurer ratings, waiver of subrogation)</w:t>
      </w:r>
    </w:p>
    <w:p w14:paraId="4A22E027" w14:textId="77777777" w:rsidR="00346641" w:rsidRDefault="00346641" w:rsidP="00346641">
      <w:pPr>
        <w:spacing w:after="200" w:line="276" w:lineRule="auto"/>
        <w:jc w:val="both"/>
      </w:pPr>
      <w:r>
        <w:rPr>
          <w:b/>
          <w:bCs/>
        </w:rPr>
        <w:t>Insurance Sizing Guidance:</w:t>
      </w:r>
    </w:p>
    <w:p w14:paraId="36FE09EA" w14:textId="77777777" w:rsidR="00346641" w:rsidRDefault="00346641" w:rsidP="00346641">
      <w:pPr>
        <w:spacing w:after="200" w:line="276" w:lineRule="auto"/>
        <w:ind w:left="720"/>
        <w:jc w:val="both"/>
      </w:pPr>
      <w:r>
        <w:t>The following minimum sizing principles shall apply when the Contractor proposes coverage limits:</w:t>
      </w:r>
    </w:p>
    <w:p w14:paraId="4ACF365E" w14:textId="77777777" w:rsidR="00346641" w:rsidRDefault="00346641" w:rsidP="00346641">
      <w:pPr>
        <w:spacing w:after="200" w:line="276" w:lineRule="auto"/>
        <w:ind w:left="720"/>
        <w:jc w:val="both"/>
      </w:pPr>
      <w:r>
        <w:t>(</w:t>
      </w:r>
      <w:proofErr w:type="spellStart"/>
      <w:r>
        <w:t>i</w:t>
      </w:r>
      <w:proofErr w:type="spellEnd"/>
      <w:r>
        <w:t>) Construction All-Risk (CAR): minimum cover equal to the full reinstatement value of the Facility (not less than the Contract Price), including coverage for materials in transit and stored off-site;</w:t>
      </w:r>
    </w:p>
    <w:p w14:paraId="0A657E42" w14:textId="77777777" w:rsidR="00346641" w:rsidRDefault="00346641" w:rsidP="00346641">
      <w:pPr>
        <w:spacing w:after="200" w:line="276" w:lineRule="auto"/>
        <w:ind w:left="720"/>
        <w:jc w:val="both"/>
      </w:pPr>
      <w:r>
        <w:t>(ii) Third Party Liability: minimum cover commensurate with the risk profile and location of the Project, taking into account proximity to populated areas, environmental sensitivity, and the nature of materials being handled;</w:t>
      </w:r>
    </w:p>
    <w:p w14:paraId="72A94FBD" w14:textId="77777777" w:rsidR="00346641" w:rsidRDefault="00346641" w:rsidP="00346641">
      <w:pPr>
        <w:spacing w:after="200" w:line="276" w:lineRule="auto"/>
        <w:ind w:left="720"/>
        <w:jc w:val="both"/>
      </w:pPr>
      <w:r>
        <w:t>(v) All insurers shall carry a minimum rating of A- (AM Best) or BBB+ (S&amp;P) or equivalent; and</w:t>
      </w:r>
    </w:p>
    <w:p w14:paraId="6464F47A" w14:textId="77777777" w:rsidR="00346641" w:rsidRDefault="00346641" w:rsidP="00346641">
      <w:pPr>
        <w:spacing w:after="200" w:line="276" w:lineRule="auto"/>
        <w:ind w:left="720"/>
        <w:jc w:val="both"/>
      </w:pPr>
      <w:r>
        <w:t>(vi) All deductibles shall be for the Contractor’s own account and shall not reduce the coverage available to the Owner.</w:t>
      </w:r>
    </w:p>
    <w:p w14:paraId="09534DAE" w14:textId="77777777" w:rsidR="00346641" w:rsidRDefault="00346641"/>
    <w:sectPr w:rsidR="003466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CC" w:date="2026-03-17T16:11:00Z" w:initials="E">
    <w:p w14:paraId="09892A53" w14:textId="77777777" w:rsidR="00346641" w:rsidRDefault="00346641" w:rsidP="00346641">
      <w:pPr>
        <w:pStyle w:val="CommentText"/>
      </w:pPr>
      <w:r>
        <w:rPr>
          <w:rStyle w:val="CommentReference"/>
        </w:rPr>
        <w:annotationRef/>
      </w:r>
      <w:r>
        <w:t xml:space="preserve">This will </w:t>
      </w:r>
      <w:proofErr w:type="spellStart"/>
      <w:r>
        <w:t>aftct</w:t>
      </w:r>
      <w:proofErr w:type="spellEnd"/>
      <w:r>
        <w:t xml:space="preserve"> the </w:t>
      </w:r>
      <w:proofErr w:type="spellStart"/>
      <w:r>
        <w:t>epc</w:t>
      </w:r>
      <w:proofErr w:type="spellEnd"/>
      <w:r>
        <w:t xml:space="preserve"> cost</w:t>
      </w:r>
    </w:p>
  </w:comment>
  <w:comment w:id="2" w:author="PCC" w:date="2026-03-17T16:16:00Z" w:initials="E">
    <w:p w14:paraId="6E2954FE" w14:textId="77777777" w:rsidR="00346641" w:rsidRDefault="00346641" w:rsidP="00346641">
      <w:pPr>
        <w:pStyle w:val="CommentText"/>
      </w:pPr>
      <w:r>
        <w:rPr>
          <w:rStyle w:val="CommentReference"/>
        </w:rPr>
        <w:annotationRef/>
      </w:r>
      <w:r>
        <w:t>Not applicable</w:t>
      </w:r>
    </w:p>
  </w:comment>
  <w:comment w:id="3" w:author="GELIAS" w:date="2026-04-11T13:35:00Z" w:initials="GE">
    <w:p w14:paraId="42AE7FDF" w14:textId="77777777" w:rsidR="00346641" w:rsidRDefault="00346641" w:rsidP="00346641">
      <w:pPr>
        <w:pStyle w:val="CommentText"/>
      </w:pPr>
      <w:r>
        <w:rPr>
          <w:rStyle w:val="CommentReference"/>
        </w:rPr>
        <w:annotationRef/>
      </w:r>
      <w:r>
        <w:t xml:space="preserve">Reinstated. Applicable </w:t>
      </w:r>
    </w:p>
  </w:comment>
  <w:comment w:id="4" w:author="PCC" w:date="2026-03-17T16:12:00Z" w:initials="E">
    <w:p w14:paraId="3B6C618F" w14:textId="77777777" w:rsidR="00346641" w:rsidRDefault="00346641" w:rsidP="00346641">
      <w:pPr>
        <w:pStyle w:val="CommentText"/>
      </w:pPr>
      <w:r>
        <w:rPr>
          <w:rStyle w:val="CommentReference"/>
        </w:rPr>
        <w:annotationRef/>
      </w:r>
      <w:r>
        <w:t xml:space="preserve">Owner is expected to provide insurance for its </w:t>
      </w:r>
      <w:proofErr w:type="spellStart"/>
      <w:r>
        <w:t>personel</w:t>
      </w:r>
      <w:proofErr w:type="spellEnd"/>
    </w:p>
  </w:comment>
  <w:comment w:id="5" w:author="GELIAS" w:date="2026-04-11T13:29:00Z" w:initials="GE">
    <w:p w14:paraId="47E772BB" w14:textId="77777777" w:rsidR="00346641" w:rsidRDefault="00346641" w:rsidP="00346641">
      <w:pPr>
        <w:pStyle w:val="CommentText"/>
      </w:pPr>
      <w:r>
        <w:rPr>
          <w:rStyle w:val="CommentReference"/>
        </w:rPr>
        <w:annotationRef/>
      </w:r>
      <w:r>
        <w:t xml:space="preserve">This has been reinstated. This is a standard requirement. The Owner will be listed as a co-loss payee. </w:t>
      </w:r>
    </w:p>
  </w:comment>
  <w:comment w:id="6" w:author="PCC" w:date="2026-03-28T08:14:00Z" w:initials="E">
    <w:p w14:paraId="15294A3A" w14:textId="77777777" w:rsidR="00346641" w:rsidRDefault="00346641" w:rsidP="00346641">
      <w:pPr>
        <w:pStyle w:val="CommentText"/>
      </w:pPr>
      <w:r>
        <w:rPr>
          <w:rStyle w:val="CommentReference"/>
        </w:rPr>
        <w:annotationRef/>
      </w:r>
      <w:r>
        <w:t>Some insurances cannot be provided within 15 days of effective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92A53" w15:done="0"/>
  <w15:commentEx w15:paraId="6E2954FE" w15:done="0"/>
  <w15:commentEx w15:paraId="42AE7FDF" w15:paraIdParent="6E2954FE" w15:done="0"/>
  <w15:commentEx w15:paraId="3B6C618F" w15:done="0"/>
  <w15:commentEx w15:paraId="47E772BB" w15:paraIdParent="3B6C618F" w15:done="0"/>
  <w15:commentEx w15:paraId="15294A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75F24" w16cex:dateUtc="2026-04-11T12:35:00Z"/>
  <w16cex:commentExtensible w16cex:durableId="5DD76922" w16cex:dateUtc="2026-04-11T1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92A53" w16cid:durableId="2D63FBC9"/>
  <w16cid:commentId w16cid:paraId="6E2954FE" w16cid:durableId="2D63FCF8"/>
  <w16cid:commentId w16cid:paraId="42AE7FDF" w16cid:durableId="2B375F24"/>
  <w16cid:commentId w16cid:paraId="3B6C618F" w16cid:durableId="2D63FBF0"/>
  <w16cid:commentId w16cid:paraId="47E772BB" w16cid:durableId="5DD76922"/>
  <w16cid:commentId w16cid:paraId="15294A3A" w16cid:durableId="2D720C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B6D"/>
    <w:multiLevelType w:val="multilevel"/>
    <w:tmpl w:val="736A4400"/>
    <w:lvl w:ilvl="0">
      <w:start w:val="9"/>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409E2FD2"/>
    <w:multiLevelType w:val="hybridMultilevel"/>
    <w:tmpl w:val="1E505D3A"/>
    <w:lvl w:ilvl="0" w:tplc="FFFFFFFF">
      <w:start w:val="1"/>
      <w:numFmt w:val="lowerLetter"/>
      <w:lvlText w:val="(%1)"/>
      <w:lvlJc w:val="left"/>
      <w:pPr>
        <w:ind w:left="1440" w:hanging="360"/>
      </w:pPr>
    </w:lvl>
    <w:lvl w:ilvl="1" w:tplc="1814FB64">
      <w:start w:val="1"/>
      <w:numFmt w:val="lowerLetter"/>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5EFA7702"/>
    <w:multiLevelType w:val="hybridMultilevel"/>
    <w:tmpl w:val="A9661C1E"/>
    <w:lvl w:ilvl="0" w:tplc="7628375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73486864"/>
    <w:multiLevelType w:val="hybridMultilevel"/>
    <w:tmpl w:val="387EB9E2"/>
    <w:lvl w:ilvl="0" w:tplc="6562DCF8">
      <w:start w:val="1"/>
      <w:numFmt w:val="decimal"/>
      <w:lvlText w:val="9.%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3420022">
    <w:abstractNumId w:val="3"/>
  </w:num>
  <w:num w:numId="2" w16cid:durableId="1022167410">
    <w:abstractNumId w:val="1"/>
  </w:num>
  <w:num w:numId="3" w16cid:durableId="434062976">
    <w:abstractNumId w:val="2"/>
  </w:num>
  <w:num w:numId="4" w16cid:durableId="5003175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C">
    <w15:presenceInfo w15:providerId="Windows Live" w15:userId="ed606e1e36d02209"/>
  </w15:person>
  <w15:person w15:author="GELIAS">
    <w15:presenceInfo w15:providerId="None" w15:userId="GELI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41"/>
    <w:rsid w:val="000E5E58"/>
    <w:rsid w:val="00346641"/>
    <w:rsid w:val="00534FD4"/>
    <w:rsid w:val="006A07DE"/>
    <w:rsid w:val="008E2E16"/>
    <w:rsid w:val="00AB079C"/>
    <w:rsid w:val="00B042F6"/>
    <w:rsid w:val="00EE0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3B2E"/>
  <w15:chartTrackingRefBased/>
  <w15:docId w15:val="{6DE17BC5-5780-4678-8426-70FD229A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6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41"/>
    <w:rPr>
      <w:rFonts w:eastAsiaTheme="majorEastAsia" w:cstheme="majorBidi"/>
      <w:color w:val="272727" w:themeColor="text1" w:themeTint="D8"/>
    </w:rPr>
  </w:style>
  <w:style w:type="paragraph" w:styleId="Title">
    <w:name w:val="Title"/>
    <w:basedOn w:val="Normal"/>
    <w:next w:val="Normal"/>
    <w:link w:val="TitleChar"/>
    <w:uiPriority w:val="10"/>
    <w:qFormat/>
    <w:rsid w:val="00346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41"/>
    <w:pPr>
      <w:spacing w:before="160"/>
      <w:jc w:val="center"/>
    </w:pPr>
    <w:rPr>
      <w:i/>
      <w:iCs/>
      <w:color w:val="404040" w:themeColor="text1" w:themeTint="BF"/>
    </w:rPr>
  </w:style>
  <w:style w:type="character" w:customStyle="1" w:styleId="QuoteChar">
    <w:name w:val="Quote Char"/>
    <w:basedOn w:val="DefaultParagraphFont"/>
    <w:link w:val="Quote"/>
    <w:uiPriority w:val="29"/>
    <w:rsid w:val="00346641"/>
    <w:rPr>
      <w:i/>
      <w:iCs/>
      <w:color w:val="404040" w:themeColor="text1" w:themeTint="BF"/>
    </w:rPr>
  </w:style>
  <w:style w:type="paragraph" w:styleId="ListParagraph">
    <w:name w:val="List Paragraph"/>
    <w:aliases w:val="List Paragraph 1,Table bullet,Indent Paragraph,Sub bullet,Lettre d'introduction,List Paragraph1,Heading2,Use Case List Paragraph,Resume Title,Citation List,heading 4,Ha,List Paragraph_Table bullets,Graphic,CBS List Item 2,Number Bullets,b"/>
    <w:basedOn w:val="Normal"/>
    <w:link w:val="ListParagraphChar"/>
    <w:uiPriority w:val="34"/>
    <w:qFormat/>
    <w:rsid w:val="00346641"/>
    <w:pPr>
      <w:ind w:left="720"/>
      <w:contextualSpacing/>
    </w:pPr>
  </w:style>
  <w:style w:type="character" w:styleId="IntenseEmphasis">
    <w:name w:val="Intense Emphasis"/>
    <w:basedOn w:val="DefaultParagraphFont"/>
    <w:uiPriority w:val="21"/>
    <w:qFormat/>
    <w:rsid w:val="00346641"/>
    <w:rPr>
      <w:i/>
      <w:iCs/>
      <w:color w:val="2F5496" w:themeColor="accent1" w:themeShade="BF"/>
    </w:rPr>
  </w:style>
  <w:style w:type="paragraph" w:styleId="IntenseQuote">
    <w:name w:val="Intense Quote"/>
    <w:basedOn w:val="Normal"/>
    <w:next w:val="Normal"/>
    <w:link w:val="IntenseQuoteChar"/>
    <w:uiPriority w:val="30"/>
    <w:qFormat/>
    <w:rsid w:val="00346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641"/>
    <w:rPr>
      <w:i/>
      <w:iCs/>
      <w:color w:val="2F5496" w:themeColor="accent1" w:themeShade="BF"/>
    </w:rPr>
  </w:style>
  <w:style w:type="character" w:styleId="IntenseReference">
    <w:name w:val="Intense Reference"/>
    <w:basedOn w:val="DefaultParagraphFont"/>
    <w:uiPriority w:val="32"/>
    <w:qFormat/>
    <w:rsid w:val="00346641"/>
    <w:rPr>
      <w:b/>
      <w:bCs/>
      <w:smallCaps/>
      <w:color w:val="2F5496" w:themeColor="accent1" w:themeShade="BF"/>
      <w:spacing w:val="5"/>
    </w:rPr>
  </w:style>
  <w:style w:type="character" w:styleId="CommentReference">
    <w:name w:val="annotation reference"/>
    <w:basedOn w:val="DefaultParagraphFont"/>
    <w:uiPriority w:val="99"/>
    <w:semiHidden/>
    <w:unhideWhenUsed/>
    <w:rsid w:val="00346641"/>
    <w:rPr>
      <w:sz w:val="16"/>
      <w:szCs w:val="16"/>
    </w:rPr>
  </w:style>
  <w:style w:type="paragraph" w:styleId="CommentText">
    <w:name w:val="annotation text"/>
    <w:basedOn w:val="Normal"/>
    <w:link w:val="CommentTextChar"/>
    <w:uiPriority w:val="99"/>
    <w:unhideWhenUsed/>
    <w:rsid w:val="00346641"/>
    <w:pPr>
      <w:spacing w:after="0" w:line="240" w:lineRule="auto"/>
    </w:pPr>
    <w:rPr>
      <w:rFonts w:ascii="Times New Roman" w:eastAsia="SimSu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346641"/>
    <w:rPr>
      <w:rFonts w:ascii="Times New Roman" w:eastAsia="SimSun" w:hAnsi="Times New Roman" w:cs="Times New Roman"/>
      <w:kern w:val="0"/>
      <w:sz w:val="20"/>
      <w:szCs w:val="20"/>
      <w14:ligatures w14:val="none"/>
    </w:rPr>
  </w:style>
  <w:style w:type="character" w:customStyle="1" w:styleId="ListParagraphChar">
    <w:name w:val="List Paragraph Char"/>
    <w:aliases w:val="List Paragraph 1 Char,Table bullet Char,Indent Paragraph Char,Sub bullet Char,Lettre d'introduction Char,List Paragraph1 Char,Heading2 Char,Use Case List Paragraph Char,Resume Title Char,Citation List Char,heading 4 Char,Ha Char"/>
    <w:link w:val="ListParagraph"/>
    <w:uiPriority w:val="34"/>
    <w:qFormat/>
    <w:locked/>
    <w:rsid w:val="00346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Oluwagbohunmi Adewopo</dc:creator>
  <cp:keywords/>
  <dc:description/>
  <cp:lastModifiedBy>Oluwagbohunmi Adewopo</cp:lastModifiedBy>
  <cp:revision>1</cp:revision>
  <dcterms:created xsi:type="dcterms:W3CDTF">2026-04-20T09:11:00Z</dcterms:created>
  <dcterms:modified xsi:type="dcterms:W3CDTF">2026-04-20T09:32:00Z</dcterms:modified>
</cp:coreProperties>
</file>