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3C9C3" w14:textId="6A344773" w:rsidR="00C40C09" w:rsidRPr="00154DD5" w:rsidRDefault="00D07DBA" w:rsidP="00154DD5">
      <w:pPr>
        <w:jc w:val="center"/>
        <w:rPr>
          <w:rFonts w:ascii="Times New Roman" w:hAnsi="Times New Roman" w:cs="Times New Roman"/>
        </w:rPr>
      </w:pPr>
      <w:r w:rsidRPr="00154DD5">
        <w:rPr>
          <w:rFonts w:ascii="Times New Roman" w:hAnsi="Times New Roman" w:cs="Times New Roman"/>
          <w:b/>
          <w:sz w:val="30"/>
        </w:rPr>
        <w:t>GRC205 — BUSINESS CONTINUITY AND DISASTER RECOVERY</w:t>
      </w:r>
    </w:p>
    <w:p w14:paraId="66020161" w14:textId="77777777" w:rsidR="00154DD5" w:rsidRPr="00154DD5" w:rsidRDefault="00154DD5" w:rsidP="00154DD5">
      <w:pPr>
        <w:jc w:val="center"/>
        <w:rPr>
          <w:rFonts w:ascii="Times New Roman" w:hAnsi="Times New Roman" w:cs="Times New Roman"/>
        </w:rPr>
      </w:pPr>
    </w:p>
    <w:tbl>
      <w:tblPr>
        <w:tblStyle w:val="TableGrid"/>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101"/>
        <w:gridCol w:w="5107"/>
      </w:tblGrid>
      <w:tr w:rsidR="00C40C09" w:rsidRPr="00154DD5" w14:paraId="61FEE738" w14:textId="77777777">
        <w:tc>
          <w:tcPr>
            <w:tcW w:w="5112" w:type="dxa"/>
            <w:shd w:val="clear" w:color="auto" w:fill="FFFFFF"/>
          </w:tcPr>
          <w:p w14:paraId="0E202D1D" w14:textId="77777777" w:rsidR="00C40C09" w:rsidRPr="00154DD5" w:rsidRDefault="00D07DBA">
            <w:pPr>
              <w:spacing w:after="40"/>
              <w:rPr>
                <w:rFonts w:ascii="Times New Roman" w:hAnsi="Times New Roman" w:cs="Times New Roman"/>
              </w:rPr>
            </w:pPr>
            <w:r w:rsidRPr="00154DD5">
              <w:rPr>
                <w:rFonts w:ascii="Times New Roman" w:hAnsi="Times New Roman" w:cs="Times New Roman"/>
                <w:sz w:val="20"/>
              </w:rPr>
              <w:t>Student name</w:t>
            </w:r>
          </w:p>
        </w:tc>
        <w:tc>
          <w:tcPr>
            <w:tcW w:w="5112" w:type="dxa"/>
            <w:shd w:val="clear" w:color="auto" w:fill="FFFFFF"/>
          </w:tcPr>
          <w:p w14:paraId="036F5AE6" w14:textId="3EEF7774" w:rsidR="00C40C09" w:rsidRPr="00154DD5" w:rsidRDefault="00154DD5" w:rsidP="00154DD5">
            <w:pPr>
              <w:spacing w:after="20"/>
              <w:rPr>
                <w:rFonts w:ascii="Times New Roman" w:hAnsi="Times New Roman" w:cs="Times New Roman"/>
                <w:sz w:val="22"/>
              </w:rPr>
            </w:pPr>
            <w:r w:rsidRPr="00154DD5">
              <w:rPr>
                <w:rFonts w:ascii="Times New Roman" w:hAnsi="Times New Roman" w:cs="Times New Roman"/>
                <w:sz w:val="22"/>
              </w:rPr>
              <w:t>OLUWAKEMI SANUSI</w:t>
            </w:r>
          </w:p>
        </w:tc>
      </w:tr>
      <w:tr w:rsidR="00C40C09" w:rsidRPr="00154DD5" w14:paraId="2AF86856" w14:textId="77777777">
        <w:tc>
          <w:tcPr>
            <w:tcW w:w="5112" w:type="dxa"/>
            <w:shd w:val="clear" w:color="auto" w:fill="FFFFFF"/>
          </w:tcPr>
          <w:p w14:paraId="0AF93BFE" w14:textId="77777777" w:rsidR="00C40C09" w:rsidRPr="00154DD5" w:rsidRDefault="00D07DBA">
            <w:pPr>
              <w:spacing w:after="40"/>
              <w:rPr>
                <w:rFonts w:ascii="Times New Roman" w:hAnsi="Times New Roman" w:cs="Times New Roman"/>
              </w:rPr>
            </w:pPr>
            <w:r w:rsidRPr="00154DD5">
              <w:rPr>
                <w:rFonts w:ascii="Times New Roman" w:hAnsi="Times New Roman" w:cs="Times New Roman"/>
                <w:sz w:val="20"/>
              </w:rPr>
              <w:t>Student ID</w:t>
            </w:r>
          </w:p>
        </w:tc>
        <w:tc>
          <w:tcPr>
            <w:tcW w:w="5112" w:type="dxa"/>
            <w:shd w:val="clear" w:color="auto" w:fill="FFFFFF"/>
          </w:tcPr>
          <w:p w14:paraId="167F414A" w14:textId="252F5BE3" w:rsidR="00C40C09" w:rsidRPr="00154DD5" w:rsidRDefault="00154DD5">
            <w:pPr>
              <w:spacing w:after="40"/>
              <w:rPr>
                <w:rFonts w:ascii="Times New Roman" w:hAnsi="Times New Roman" w:cs="Times New Roman"/>
              </w:rPr>
            </w:pPr>
            <w:r w:rsidRPr="00154DD5">
              <w:rPr>
                <w:rFonts w:ascii="Times New Roman" w:hAnsi="Times New Roman" w:cs="Times New Roman"/>
                <w:sz w:val="22"/>
              </w:rPr>
              <w:t>2025/GCR/12728</w:t>
            </w:r>
          </w:p>
        </w:tc>
      </w:tr>
      <w:tr w:rsidR="00C40C09" w:rsidRPr="00154DD5" w14:paraId="697B3308" w14:textId="77777777">
        <w:tc>
          <w:tcPr>
            <w:tcW w:w="5112" w:type="dxa"/>
            <w:shd w:val="clear" w:color="auto" w:fill="FFFFFF"/>
          </w:tcPr>
          <w:p w14:paraId="16C7646A" w14:textId="77777777" w:rsidR="00C40C09" w:rsidRPr="00154DD5" w:rsidRDefault="00D07DBA">
            <w:pPr>
              <w:spacing w:after="40"/>
              <w:rPr>
                <w:rFonts w:ascii="Times New Roman" w:hAnsi="Times New Roman" w:cs="Times New Roman"/>
              </w:rPr>
            </w:pPr>
            <w:r w:rsidRPr="00154DD5">
              <w:rPr>
                <w:rFonts w:ascii="Times New Roman" w:hAnsi="Times New Roman" w:cs="Times New Roman"/>
                <w:sz w:val="20"/>
              </w:rPr>
              <w:t>Official email</w:t>
            </w:r>
          </w:p>
        </w:tc>
        <w:tc>
          <w:tcPr>
            <w:tcW w:w="5112" w:type="dxa"/>
            <w:shd w:val="clear" w:color="auto" w:fill="FFFFFF"/>
          </w:tcPr>
          <w:p w14:paraId="7A6400AF" w14:textId="1E45F63B" w:rsidR="00C40C09" w:rsidRPr="00154DD5" w:rsidRDefault="00154DD5">
            <w:pPr>
              <w:spacing w:after="40"/>
              <w:rPr>
                <w:rFonts w:ascii="Times New Roman" w:hAnsi="Times New Roman" w:cs="Times New Roman"/>
              </w:rPr>
            </w:pPr>
            <w:hyperlink r:id="rId8" w:history="1">
              <w:r w:rsidRPr="00154DD5">
                <w:rPr>
                  <w:rStyle w:val="Hyperlink"/>
                  <w:rFonts w:ascii="Times New Roman" w:hAnsi="Times New Roman" w:cs="Times New Roman"/>
                  <w:sz w:val="22"/>
                </w:rPr>
                <w:t>gcr2512728@students.icdfa.edu.ng</w:t>
              </w:r>
            </w:hyperlink>
          </w:p>
        </w:tc>
      </w:tr>
      <w:tr w:rsidR="00C40C09" w:rsidRPr="00154DD5" w14:paraId="63300C20" w14:textId="77777777">
        <w:tc>
          <w:tcPr>
            <w:tcW w:w="5112" w:type="dxa"/>
            <w:shd w:val="clear" w:color="auto" w:fill="FFFFFF"/>
          </w:tcPr>
          <w:p w14:paraId="3661A4AE" w14:textId="77777777" w:rsidR="00C40C09" w:rsidRPr="00154DD5" w:rsidRDefault="00D07DBA">
            <w:pPr>
              <w:spacing w:after="40"/>
              <w:rPr>
                <w:rFonts w:ascii="Times New Roman" w:hAnsi="Times New Roman" w:cs="Times New Roman"/>
              </w:rPr>
            </w:pPr>
            <w:r w:rsidRPr="00154DD5">
              <w:rPr>
                <w:rFonts w:ascii="Times New Roman" w:hAnsi="Times New Roman" w:cs="Times New Roman"/>
                <w:sz w:val="20"/>
              </w:rPr>
              <w:t>Word count</w:t>
            </w:r>
          </w:p>
        </w:tc>
        <w:tc>
          <w:tcPr>
            <w:tcW w:w="5112" w:type="dxa"/>
            <w:shd w:val="clear" w:color="auto" w:fill="FFFFFF"/>
          </w:tcPr>
          <w:p w14:paraId="5AF77AD4" w14:textId="56F1B21C" w:rsidR="00C40C09" w:rsidRPr="00154DD5" w:rsidRDefault="00154DD5">
            <w:pPr>
              <w:spacing w:after="40"/>
              <w:rPr>
                <w:rFonts w:ascii="Times New Roman" w:hAnsi="Times New Roman" w:cs="Times New Roman"/>
              </w:rPr>
            </w:pPr>
            <w:r w:rsidRPr="00154DD5">
              <w:rPr>
                <w:rFonts w:ascii="Times New Roman" w:hAnsi="Times New Roman" w:cs="Times New Roman"/>
              </w:rPr>
              <w:t>5619 Words</w:t>
            </w:r>
          </w:p>
        </w:tc>
      </w:tr>
    </w:tbl>
    <w:p w14:paraId="454E2428" w14:textId="33836871" w:rsidR="00C40C09" w:rsidRPr="00154DD5" w:rsidRDefault="00C40C09" w:rsidP="00154DD5">
      <w:pPr>
        <w:rPr>
          <w:rFonts w:ascii="Times New Roman" w:hAnsi="Times New Roman" w:cs="Times New Roman"/>
        </w:rPr>
      </w:pPr>
    </w:p>
    <w:p w14:paraId="61CDE806" w14:textId="77777777" w:rsidR="00C40C09" w:rsidRPr="00154DD5" w:rsidRDefault="00C40C09">
      <w:pPr>
        <w:rPr>
          <w:rFonts w:ascii="Times New Roman" w:hAnsi="Times New Roman" w:cs="Times New Roman"/>
        </w:rPr>
      </w:pPr>
    </w:p>
    <w:p w14:paraId="334B11B0" w14:textId="77777777" w:rsidR="00C40C09" w:rsidRPr="00154DD5" w:rsidRDefault="00D07DBA">
      <w:pPr>
        <w:pStyle w:val="Heading1"/>
        <w:rPr>
          <w:rFonts w:ascii="Times New Roman" w:hAnsi="Times New Roman" w:cs="Times New Roman"/>
        </w:rPr>
      </w:pPr>
      <w:r w:rsidRPr="00154DD5">
        <w:rPr>
          <w:rFonts w:ascii="Times New Roman" w:hAnsi="Times New Roman" w:cs="Times New Roman"/>
        </w:rPr>
        <w:t>Introduction</w:t>
      </w:r>
    </w:p>
    <w:p w14:paraId="61F248CE" w14:textId="77777777" w:rsidR="00C40C09" w:rsidRPr="00154DD5" w:rsidRDefault="00D07DBA">
      <w:pPr>
        <w:rPr>
          <w:rFonts w:ascii="Times New Roman" w:hAnsi="Times New Roman" w:cs="Times New Roman"/>
        </w:rPr>
      </w:pPr>
      <w:r w:rsidRPr="00154DD5">
        <w:rPr>
          <w:rFonts w:ascii="Times New Roman" w:hAnsi="Times New Roman" w:cs="Times New Roman"/>
        </w:rPr>
        <w:t xml:space="preserve">This report sets out how Northbridge Skills Institute (NSI) should maintain essential services and recover from a flood and power failure that make its main site and local systems unavailable from 08:00 WAT on Day 0. Facilities estimates that access will be unavailable for 72 hours. Microsoft 365 identity and email remain available through mobile internet, while local applications depend on AUTH01. Two technicians are available for recovery, and an alternate facility can provide 25 workstations from 10:00. </w:t>
      </w:r>
      <w:r w:rsidRPr="00154DD5">
        <w:rPr>
          <w:rFonts w:ascii="Times New Roman" w:hAnsi="Times New Roman" w:cs="Times New Roman"/>
        </w:rPr>
        <w:t>The plan therefore separates the order in which the business needs services from the technical order required to restore shared infrastructure. It also provides temporary service arrangements, recovery objectives, a budget recommendation, a timed recovery model, and governance measures.</w:t>
      </w:r>
    </w:p>
    <w:p w14:paraId="26DFE5B2" w14:textId="77777777" w:rsidR="00C40C09" w:rsidRPr="00154DD5" w:rsidRDefault="00D07DBA">
      <w:pPr>
        <w:pStyle w:val="Heading1"/>
        <w:rPr>
          <w:rFonts w:ascii="Times New Roman" w:hAnsi="Times New Roman" w:cs="Times New Roman"/>
        </w:rPr>
      </w:pPr>
      <w:r w:rsidRPr="00154DD5">
        <w:rPr>
          <w:rFonts w:ascii="Times New Roman" w:hAnsi="Times New Roman" w:cs="Times New Roman"/>
        </w:rPr>
        <w:t>Task 1: Business Impact Analysis</w:t>
      </w:r>
    </w:p>
    <w:p w14:paraId="767BB5DA"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1.1 BIA method and priority</w:t>
      </w:r>
    </w:p>
    <w:p w14:paraId="02FC6462" w14:textId="77777777" w:rsidR="00C40C09" w:rsidRPr="00154DD5" w:rsidRDefault="00D07DBA">
      <w:pPr>
        <w:rPr>
          <w:rFonts w:ascii="Times New Roman" w:hAnsi="Times New Roman" w:cs="Times New Roman"/>
        </w:rPr>
      </w:pPr>
      <w:r w:rsidRPr="00154DD5">
        <w:rPr>
          <w:rFonts w:ascii="Times New Roman" w:hAnsi="Times New Roman" w:cs="Times New Roman"/>
        </w:rPr>
        <w:t xml:space="preserve">The business impact analysis (BIA) considers the disruption cost supplied for each function, deadlines, users affected, information integrity, dependencies and learner or staff welfare. The hourly values are exercise estimates of incremental cost and do not represent all consequences. The business priority is F1 first because the examination is scheduled for 11:00 and 40 learners require centre workstations. F2 follows because fee confirmation is due at 16:00. F3 must meet the 18:00 admissions deadline. F4 </w:t>
      </w:r>
      <w:r w:rsidRPr="00154DD5">
        <w:rPr>
          <w:rFonts w:ascii="Times New Roman" w:hAnsi="Times New Roman" w:cs="Times New Roman"/>
        </w:rPr>
        <w:t>must be ready before the bank submission deadline at 12:00 on Day 1. F5 has a 48-hour internal service commitment. Technical restoration cannot simply follow this list because F1–F4 share the recovery network, AUTH01 and DB01.</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53"/>
        <w:gridCol w:w="2552"/>
        <w:gridCol w:w="2552"/>
        <w:gridCol w:w="2551"/>
      </w:tblGrid>
      <w:tr w:rsidR="00C40C09" w:rsidRPr="00154DD5" w14:paraId="0FAE3CE2" w14:textId="77777777">
        <w:trPr>
          <w:jc w:val="center"/>
        </w:trPr>
        <w:tc>
          <w:tcPr>
            <w:tcW w:w="2556" w:type="dxa"/>
            <w:shd w:val="clear" w:color="auto" w:fill="FFFFFF"/>
            <w:vAlign w:val="center"/>
          </w:tcPr>
          <w:p w14:paraId="27A3C49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Function / owner role</w:t>
            </w:r>
          </w:p>
        </w:tc>
        <w:tc>
          <w:tcPr>
            <w:tcW w:w="2556" w:type="dxa"/>
            <w:shd w:val="clear" w:color="auto" w:fill="FFFFFF"/>
            <w:vAlign w:val="center"/>
          </w:tcPr>
          <w:p w14:paraId="50B8B4A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Users and resources</w:t>
            </w:r>
          </w:p>
        </w:tc>
        <w:tc>
          <w:tcPr>
            <w:tcW w:w="2556" w:type="dxa"/>
            <w:shd w:val="clear" w:color="auto" w:fill="FFFFFF"/>
            <w:vAlign w:val="center"/>
          </w:tcPr>
          <w:p w14:paraId="58F79AE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Dependencies and minimum acceptable service</w:t>
            </w:r>
          </w:p>
        </w:tc>
        <w:tc>
          <w:tcPr>
            <w:tcW w:w="2556" w:type="dxa"/>
            <w:shd w:val="clear" w:color="auto" w:fill="FFFFFF"/>
            <w:vAlign w:val="center"/>
          </w:tcPr>
          <w:p w14:paraId="2DFE4BC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Priority / target</w:t>
            </w:r>
          </w:p>
        </w:tc>
      </w:tr>
      <w:tr w:rsidR="00C40C09" w:rsidRPr="00154DD5" w14:paraId="18F6BE90" w14:textId="77777777">
        <w:trPr>
          <w:jc w:val="center"/>
        </w:trPr>
        <w:tc>
          <w:tcPr>
            <w:tcW w:w="2556" w:type="dxa"/>
            <w:shd w:val="clear" w:color="auto" w:fill="FFFFFF"/>
            <w:vAlign w:val="center"/>
          </w:tcPr>
          <w:p w14:paraId="2A625BE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F1 Teaching and assessment — Academic/Examinations Lead</w:t>
            </w:r>
          </w:p>
        </w:tc>
        <w:tc>
          <w:tcPr>
            <w:tcW w:w="2556" w:type="dxa"/>
            <w:shd w:val="clear" w:color="auto" w:fill="FFFFFF"/>
            <w:vAlign w:val="center"/>
          </w:tcPr>
          <w:p w14:paraId="1A6D8B4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120 learners for the 11:00 exam; LMS01, DB01, assessment content, secure devices, invigilators and accessible venue.</w:t>
            </w:r>
          </w:p>
        </w:tc>
        <w:tc>
          <w:tcPr>
            <w:tcW w:w="2556" w:type="dxa"/>
            <w:shd w:val="clear" w:color="auto" w:fill="FFFFFF"/>
            <w:vAlign w:val="center"/>
          </w:tcPr>
          <w:p w14:paraId="7785307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Recovery network, AUTH01, DB01, LMS01, staff and secure communication. Minimum service: an approved assessment platform or a controlled, documented alternative with identity checks, equivalent timing, invigilation, accessibility support and secure collection of submissions.</w:t>
            </w:r>
          </w:p>
        </w:tc>
        <w:tc>
          <w:tcPr>
            <w:tcW w:w="2556" w:type="dxa"/>
            <w:shd w:val="clear" w:color="auto" w:fill="FFFFFF"/>
            <w:vAlign w:val="center"/>
          </w:tcPr>
          <w:p w14:paraId="4BA1CB08"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 — examination continuity by 11:00; technical service target 4 hours.</w:t>
            </w:r>
          </w:p>
        </w:tc>
      </w:tr>
      <w:tr w:rsidR="00C40C09" w:rsidRPr="00154DD5" w14:paraId="6BFAD94B" w14:textId="77777777">
        <w:trPr>
          <w:jc w:val="center"/>
        </w:trPr>
        <w:tc>
          <w:tcPr>
            <w:tcW w:w="2556" w:type="dxa"/>
            <w:shd w:val="clear" w:color="auto" w:fill="FFFFFF"/>
            <w:vAlign w:val="center"/>
          </w:tcPr>
          <w:p w14:paraId="4CF946D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F2 Fees and finance — Finance Manager</w:t>
            </w:r>
          </w:p>
        </w:tc>
        <w:tc>
          <w:tcPr>
            <w:tcW w:w="2556" w:type="dxa"/>
            <w:shd w:val="clear" w:color="auto" w:fill="FFFFFF"/>
            <w:vAlign w:val="center"/>
          </w:tcPr>
          <w:p w14:paraId="121EBC1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Finance staff, learners making payments, FIN01, DB01, external payment provider and local receipt/wallet records.</w:t>
            </w:r>
          </w:p>
        </w:tc>
        <w:tc>
          <w:tcPr>
            <w:tcW w:w="2556" w:type="dxa"/>
            <w:shd w:val="clear" w:color="auto" w:fill="FFFFFF"/>
            <w:vAlign w:val="center"/>
          </w:tcPr>
          <w:p w14:paraId="40224AA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Network, AUTH01, DB01, FIN01 and payment-provider access. Minimum service: retain provider transaction references in a restricted, numbered register; two-person verification; no duplicate posting; reconcile to local records when restored.</w:t>
            </w:r>
          </w:p>
        </w:tc>
        <w:tc>
          <w:tcPr>
            <w:tcW w:w="2556" w:type="dxa"/>
            <w:shd w:val="clear" w:color="auto" w:fill="FFFFFF"/>
            <w:vAlign w:val="center"/>
          </w:tcPr>
          <w:p w14:paraId="7E966DA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2 — fee confirmation by 16:00.</w:t>
            </w:r>
          </w:p>
        </w:tc>
      </w:tr>
      <w:tr w:rsidR="00C40C09" w:rsidRPr="00154DD5" w14:paraId="7CF1B6D9" w14:textId="77777777">
        <w:trPr>
          <w:jc w:val="center"/>
        </w:trPr>
        <w:tc>
          <w:tcPr>
            <w:tcW w:w="2556" w:type="dxa"/>
            <w:shd w:val="clear" w:color="auto" w:fill="FFFFFF"/>
            <w:vAlign w:val="center"/>
          </w:tcPr>
          <w:p w14:paraId="116F02D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F3 Admissions and registration — Admissions Lead</w:t>
            </w:r>
          </w:p>
        </w:tc>
        <w:tc>
          <w:tcPr>
            <w:tcW w:w="2556" w:type="dxa"/>
            <w:shd w:val="clear" w:color="auto" w:fill="FFFFFF"/>
            <w:vAlign w:val="center"/>
          </w:tcPr>
          <w:p w14:paraId="6ACDB26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Applicants, registration staff, REG01, DB01, application records and communications.</w:t>
            </w:r>
          </w:p>
        </w:tc>
        <w:tc>
          <w:tcPr>
            <w:tcW w:w="2556" w:type="dxa"/>
            <w:shd w:val="clear" w:color="auto" w:fill="FFFFFF"/>
            <w:vAlign w:val="center"/>
          </w:tcPr>
          <w:p w14:paraId="7042C6C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Network, AUTH01, DB01, REG01. Minimum service: timestamped applications and change requests in an access-</w:t>
            </w:r>
            <w:r w:rsidRPr="00154DD5">
              <w:rPr>
                <w:rFonts w:ascii="Times New Roman" w:hAnsi="Times New Roman" w:cs="Times New Roman"/>
                <w:sz w:val="17"/>
              </w:rPr>
              <w:lastRenderedPageBreak/>
              <w:t>controlled temporary register; issue acknowledgements but do not promise final registration until validated.</w:t>
            </w:r>
          </w:p>
        </w:tc>
        <w:tc>
          <w:tcPr>
            <w:tcW w:w="2556" w:type="dxa"/>
            <w:shd w:val="clear" w:color="auto" w:fill="FFFFFF"/>
            <w:vAlign w:val="center"/>
          </w:tcPr>
          <w:p w14:paraId="4CD0AFB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lastRenderedPageBreak/>
              <w:t>3 — maintain intake before 18:00.</w:t>
            </w:r>
          </w:p>
        </w:tc>
      </w:tr>
      <w:tr w:rsidR="00C40C09" w:rsidRPr="00154DD5" w14:paraId="1B6EC55D" w14:textId="77777777">
        <w:trPr>
          <w:jc w:val="center"/>
        </w:trPr>
        <w:tc>
          <w:tcPr>
            <w:tcW w:w="2556" w:type="dxa"/>
            <w:shd w:val="clear" w:color="auto" w:fill="FFFFFF"/>
            <w:vAlign w:val="center"/>
          </w:tcPr>
          <w:p w14:paraId="6000ABF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F4 Staff payroll — HR/Payroll Lead</w:t>
            </w:r>
          </w:p>
        </w:tc>
        <w:tc>
          <w:tcPr>
            <w:tcW w:w="2556" w:type="dxa"/>
            <w:shd w:val="clear" w:color="auto" w:fill="FFFFFF"/>
            <w:vAlign w:val="center"/>
          </w:tcPr>
          <w:p w14:paraId="14D172B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90 staff, payroll officers, HR01, DB01, bank file and approved payroll instructions.</w:t>
            </w:r>
          </w:p>
        </w:tc>
        <w:tc>
          <w:tcPr>
            <w:tcW w:w="2556" w:type="dxa"/>
            <w:shd w:val="clear" w:color="auto" w:fill="FFFFFF"/>
            <w:vAlign w:val="center"/>
          </w:tcPr>
          <w:p w14:paraId="422A2CA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Network, AUTH01, DB01, HR01 and bank channel. Minimum service: use the last approved payroll source plus authorised change records; dual approval and duplicate checks before submission.</w:t>
            </w:r>
          </w:p>
        </w:tc>
        <w:tc>
          <w:tcPr>
            <w:tcW w:w="2556" w:type="dxa"/>
            <w:shd w:val="clear" w:color="auto" w:fill="FFFFFF"/>
            <w:vAlign w:val="center"/>
          </w:tcPr>
          <w:p w14:paraId="67008EA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4 — bank submission by 12:00 Day 1.</w:t>
            </w:r>
          </w:p>
        </w:tc>
      </w:tr>
      <w:tr w:rsidR="00C40C09" w:rsidRPr="00154DD5" w14:paraId="1444203E" w14:textId="77777777">
        <w:trPr>
          <w:jc w:val="center"/>
        </w:trPr>
        <w:tc>
          <w:tcPr>
            <w:tcW w:w="2556" w:type="dxa"/>
            <w:shd w:val="clear" w:color="auto" w:fill="FFFFFF"/>
            <w:vAlign w:val="center"/>
          </w:tcPr>
          <w:p w14:paraId="039648F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F5 Records and certificates — Registrar/Records Lead</w:t>
            </w:r>
          </w:p>
        </w:tc>
        <w:tc>
          <w:tcPr>
            <w:tcW w:w="2556" w:type="dxa"/>
            <w:shd w:val="clear" w:color="auto" w:fill="FFFFFF"/>
            <w:vAlign w:val="center"/>
          </w:tcPr>
          <w:p w14:paraId="37791C5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Learners and alumni, records staff, FS01, protected files and access logs.</w:t>
            </w:r>
          </w:p>
        </w:tc>
        <w:tc>
          <w:tcPr>
            <w:tcW w:w="2556" w:type="dxa"/>
            <w:shd w:val="clear" w:color="auto" w:fill="FFFFFF"/>
            <w:vAlign w:val="center"/>
          </w:tcPr>
          <w:p w14:paraId="3C40364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Network, AUTH01 and FS01. Minimum service: log requests, verify identity and entitlement, provide only records that can be validated, and defer release where integrity cannot be confirmed.</w:t>
            </w:r>
          </w:p>
        </w:tc>
        <w:tc>
          <w:tcPr>
            <w:tcW w:w="2556" w:type="dxa"/>
            <w:shd w:val="clear" w:color="auto" w:fill="FFFFFF"/>
            <w:vAlign w:val="center"/>
          </w:tcPr>
          <w:p w14:paraId="067010E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5 — meet 48-hour internal commitment where possible.</w:t>
            </w:r>
          </w:p>
        </w:tc>
      </w:tr>
    </w:tbl>
    <w:p w14:paraId="1495AD36" w14:textId="77777777" w:rsidR="00C40C09" w:rsidRPr="00154DD5" w:rsidRDefault="00C40C09">
      <w:pPr>
        <w:rPr>
          <w:rFonts w:ascii="Times New Roman" w:hAnsi="Times New Roman" w:cs="Times New Roman"/>
        </w:rPr>
      </w:pPr>
    </w:p>
    <w:p w14:paraId="4D22BD6B"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1.2 Disruption-cost calculations</w:t>
      </w:r>
    </w:p>
    <w:p w14:paraId="48C992AE" w14:textId="77777777" w:rsidR="00C40C09" w:rsidRPr="00154DD5" w:rsidRDefault="00D07DBA">
      <w:pPr>
        <w:rPr>
          <w:rFonts w:ascii="Times New Roman" w:hAnsi="Times New Roman" w:cs="Times New Roman"/>
        </w:rPr>
      </w:pPr>
      <w:r w:rsidRPr="00154DD5">
        <w:rPr>
          <w:rFonts w:ascii="Times New Roman" w:hAnsi="Times New Roman" w:cs="Times New Roman"/>
        </w:rPr>
        <w:t>The brief directs that the hourly amounts are separate and non-overlapping, that the first 24 hours are calculated, and that the NGN 120,000 examination rescheduling cost is added once if the 11:00 examination cannot proceed. For the requested no-recovery scenario, the examination trigger is met.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04"/>
        <w:gridCol w:w="1700"/>
        <w:gridCol w:w="1701"/>
        <w:gridCol w:w="1701"/>
        <w:gridCol w:w="1701"/>
        <w:gridCol w:w="1701"/>
      </w:tblGrid>
      <w:tr w:rsidR="00C40C09" w:rsidRPr="00154DD5" w14:paraId="578C2DCB" w14:textId="77777777">
        <w:trPr>
          <w:jc w:val="center"/>
        </w:trPr>
        <w:tc>
          <w:tcPr>
            <w:tcW w:w="1704" w:type="dxa"/>
            <w:shd w:val="clear" w:color="auto" w:fill="FFFFFF"/>
            <w:vAlign w:val="center"/>
          </w:tcPr>
          <w:p w14:paraId="780CEAC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Function</w:t>
            </w:r>
          </w:p>
        </w:tc>
        <w:tc>
          <w:tcPr>
            <w:tcW w:w="1704" w:type="dxa"/>
            <w:shd w:val="clear" w:color="auto" w:fill="FFFFFF"/>
            <w:vAlign w:val="center"/>
          </w:tcPr>
          <w:p w14:paraId="2297149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Rate per hour</w:t>
            </w:r>
          </w:p>
        </w:tc>
        <w:tc>
          <w:tcPr>
            <w:tcW w:w="1704" w:type="dxa"/>
            <w:shd w:val="clear" w:color="auto" w:fill="FFFFFF"/>
            <w:vAlign w:val="center"/>
          </w:tcPr>
          <w:p w14:paraId="18FE492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8-hour calculation</w:t>
            </w:r>
          </w:p>
        </w:tc>
        <w:tc>
          <w:tcPr>
            <w:tcW w:w="1704" w:type="dxa"/>
            <w:shd w:val="clear" w:color="auto" w:fill="FFFFFF"/>
            <w:vAlign w:val="center"/>
          </w:tcPr>
          <w:p w14:paraId="6E49955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8-hour total</w:t>
            </w:r>
          </w:p>
        </w:tc>
        <w:tc>
          <w:tcPr>
            <w:tcW w:w="1704" w:type="dxa"/>
            <w:shd w:val="clear" w:color="auto" w:fill="FFFFFF"/>
            <w:vAlign w:val="center"/>
          </w:tcPr>
          <w:p w14:paraId="17F3169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24-hour calculation</w:t>
            </w:r>
          </w:p>
        </w:tc>
        <w:tc>
          <w:tcPr>
            <w:tcW w:w="1704" w:type="dxa"/>
            <w:shd w:val="clear" w:color="auto" w:fill="FFFFFF"/>
            <w:vAlign w:val="center"/>
          </w:tcPr>
          <w:p w14:paraId="63B5FBD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24-hour total</w:t>
            </w:r>
          </w:p>
        </w:tc>
      </w:tr>
      <w:tr w:rsidR="00C40C09" w:rsidRPr="00154DD5" w14:paraId="10F56131" w14:textId="77777777">
        <w:trPr>
          <w:jc w:val="center"/>
        </w:trPr>
        <w:tc>
          <w:tcPr>
            <w:tcW w:w="1704" w:type="dxa"/>
            <w:shd w:val="clear" w:color="auto" w:fill="FFFFFF"/>
            <w:vAlign w:val="center"/>
          </w:tcPr>
          <w:p w14:paraId="37C59CC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F1 Teaching/assessment</w:t>
            </w:r>
          </w:p>
        </w:tc>
        <w:tc>
          <w:tcPr>
            <w:tcW w:w="1704" w:type="dxa"/>
            <w:shd w:val="clear" w:color="auto" w:fill="FFFFFF"/>
            <w:vAlign w:val="center"/>
          </w:tcPr>
          <w:p w14:paraId="331CB54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60,000</w:t>
            </w:r>
          </w:p>
        </w:tc>
        <w:tc>
          <w:tcPr>
            <w:tcW w:w="1704" w:type="dxa"/>
            <w:shd w:val="clear" w:color="auto" w:fill="FFFFFF"/>
            <w:vAlign w:val="center"/>
          </w:tcPr>
          <w:p w14:paraId="6F62E14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60,000 × 8 + ₦120,000 rescheduling</w:t>
            </w:r>
          </w:p>
        </w:tc>
        <w:tc>
          <w:tcPr>
            <w:tcW w:w="1704" w:type="dxa"/>
            <w:shd w:val="clear" w:color="auto" w:fill="FFFFFF"/>
            <w:vAlign w:val="center"/>
          </w:tcPr>
          <w:p w14:paraId="3F68FFA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600,000</w:t>
            </w:r>
          </w:p>
        </w:tc>
        <w:tc>
          <w:tcPr>
            <w:tcW w:w="1704" w:type="dxa"/>
            <w:shd w:val="clear" w:color="auto" w:fill="FFFFFF"/>
            <w:vAlign w:val="center"/>
          </w:tcPr>
          <w:p w14:paraId="3A24F04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60,000 × 24 + ₦120,000 rescheduling</w:t>
            </w:r>
          </w:p>
        </w:tc>
        <w:tc>
          <w:tcPr>
            <w:tcW w:w="1704" w:type="dxa"/>
            <w:shd w:val="clear" w:color="auto" w:fill="FFFFFF"/>
            <w:vAlign w:val="center"/>
          </w:tcPr>
          <w:p w14:paraId="3623A81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1,560,000</w:t>
            </w:r>
          </w:p>
        </w:tc>
      </w:tr>
      <w:tr w:rsidR="00C40C09" w:rsidRPr="00154DD5" w14:paraId="5CC97D72" w14:textId="77777777">
        <w:trPr>
          <w:jc w:val="center"/>
        </w:trPr>
        <w:tc>
          <w:tcPr>
            <w:tcW w:w="1704" w:type="dxa"/>
            <w:shd w:val="clear" w:color="auto" w:fill="FFFFFF"/>
            <w:vAlign w:val="center"/>
          </w:tcPr>
          <w:p w14:paraId="309E438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F2 Fees/finance</w:t>
            </w:r>
          </w:p>
        </w:tc>
        <w:tc>
          <w:tcPr>
            <w:tcW w:w="1704" w:type="dxa"/>
            <w:shd w:val="clear" w:color="auto" w:fill="FFFFFF"/>
            <w:vAlign w:val="center"/>
          </w:tcPr>
          <w:p w14:paraId="4292859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40,000</w:t>
            </w:r>
          </w:p>
        </w:tc>
        <w:tc>
          <w:tcPr>
            <w:tcW w:w="1704" w:type="dxa"/>
            <w:shd w:val="clear" w:color="auto" w:fill="FFFFFF"/>
            <w:vAlign w:val="center"/>
          </w:tcPr>
          <w:p w14:paraId="0A1CA88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40,000 × 8</w:t>
            </w:r>
          </w:p>
        </w:tc>
        <w:tc>
          <w:tcPr>
            <w:tcW w:w="1704" w:type="dxa"/>
            <w:shd w:val="clear" w:color="auto" w:fill="FFFFFF"/>
            <w:vAlign w:val="center"/>
          </w:tcPr>
          <w:p w14:paraId="0879603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320,000</w:t>
            </w:r>
          </w:p>
        </w:tc>
        <w:tc>
          <w:tcPr>
            <w:tcW w:w="1704" w:type="dxa"/>
            <w:shd w:val="clear" w:color="auto" w:fill="FFFFFF"/>
            <w:vAlign w:val="center"/>
          </w:tcPr>
          <w:p w14:paraId="336CE16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40,000 × 24</w:t>
            </w:r>
          </w:p>
        </w:tc>
        <w:tc>
          <w:tcPr>
            <w:tcW w:w="1704" w:type="dxa"/>
            <w:shd w:val="clear" w:color="auto" w:fill="FFFFFF"/>
            <w:vAlign w:val="center"/>
          </w:tcPr>
          <w:p w14:paraId="73108BA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960,000</w:t>
            </w:r>
          </w:p>
        </w:tc>
      </w:tr>
      <w:tr w:rsidR="00C40C09" w:rsidRPr="00154DD5" w14:paraId="576FB460" w14:textId="77777777">
        <w:trPr>
          <w:jc w:val="center"/>
        </w:trPr>
        <w:tc>
          <w:tcPr>
            <w:tcW w:w="1704" w:type="dxa"/>
            <w:shd w:val="clear" w:color="auto" w:fill="FFFFFF"/>
            <w:vAlign w:val="center"/>
          </w:tcPr>
          <w:p w14:paraId="38DE763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F3 Admissions</w:t>
            </w:r>
          </w:p>
        </w:tc>
        <w:tc>
          <w:tcPr>
            <w:tcW w:w="1704" w:type="dxa"/>
            <w:shd w:val="clear" w:color="auto" w:fill="FFFFFF"/>
            <w:vAlign w:val="center"/>
          </w:tcPr>
          <w:p w14:paraId="496A538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20,000</w:t>
            </w:r>
          </w:p>
        </w:tc>
        <w:tc>
          <w:tcPr>
            <w:tcW w:w="1704" w:type="dxa"/>
            <w:shd w:val="clear" w:color="auto" w:fill="FFFFFF"/>
            <w:vAlign w:val="center"/>
          </w:tcPr>
          <w:p w14:paraId="0F14492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20,000 × 8</w:t>
            </w:r>
          </w:p>
        </w:tc>
        <w:tc>
          <w:tcPr>
            <w:tcW w:w="1704" w:type="dxa"/>
            <w:shd w:val="clear" w:color="auto" w:fill="FFFFFF"/>
            <w:vAlign w:val="center"/>
          </w:tcPr>
          <w:p w14:paraId="18480DF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160,000</w:t>
            </w:r>
          </w:p>
        </w:tc>
        <w:tc>
          <w:tcPr>
            <w:tcW w:w="1704" w:type="dxa"/>
            <w:shd w:val="clear" w:color="auto" w:fill="FFFFFF"/>
            <w:vAlign w:val="center"/>
          </w:tcPr>
          <w:p w14:paraId="1F4D065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20,000 × 24</w:t>
            </w:r>
          </w:p>
        </w:tc>
        <w:tc>
          <w:tcPr>
            <w:tcW w:w="1704" w:type="dxa"/>
            <w:shd w:val="clear" w:color="auto" w:fill="FFFFFF"/>
            <w:vAlign w:val="center"/>
          </w:tcPr>
          <w:p w14:paraId="68F9EFC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480,000</w:t>
            </w:r>
          </w:p>
        </w:tc>
      </w:tr>
      <w:tr w:rsidR="00C40C09" w:rsidRPr="00154DD5" w14:paraId="4CE7D0BD" w14:textId="77777777">
        <w:trPr>
          <w:jc w:val="center"/>
        </w:trPr>
        <w:tc>
          <w:tcPr>
            <w:tcW w:w="1704" w:type="dxa"/>
            <w:shd w:val="clear" w:color="auto" w:fill="FFFFFF"/>
            <w:vAlign w:val="center"/>
          </w:tcPr>
          <w:p w14:paraId="7367AAF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F4 Payroll</w:t>
            </w:r>
          </w:p>
        </w:tc>
        <w:tc>
          <w:tcPr>
            <w:tcW w:w="1704" w:type="dxa"/>
            <w:shd w:val="clear" w:color="auto" w:fill="FFFFFF"/>
            <w:vAlign w:val="center"/>
          </w:tcPr>
          <w:p w14:paraId="6B172C6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10,000</w:t>
            </w:r>
          </w:p>
        </w:tc>
        <w:tc>
          <w:tcPr>
            <w:tcW w:w="1704" w:type="dxa"/>
            <w:shd w:val="clear" w:color="auto" w:fill="FFFFFF"/>
            <w:vAlign w:val="center"/>
          </w:tcPr>
          <w:p w14:paraId="731082A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10,000 × 8</w:t>
            </w:r>
          </w:p>
        </w:tc>
        <w:tc>
          <w:tcPr>
            <w:tcW w:w="1704" w:type="dxa"/>
            <w:shd w:val="clear" w:color="auto" w:fill="FFFFFF"/>
            <w:vAlign w:val="center"/>
          </w:tcPr>
          <w:p w14:paraId="5B7122E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80,000</w:t>
            </w:r>
          </w:p>
        </w:tc>
        <w:tc>
          <w:tcPr>
            <w:tcW w:w="1704" w:type="dxa"/>
            <w:shd w:val="clear" w:color="auto" w:fill="FFFFFF"/>
            <w:vAlign w:val="center"/>
          </w:tcPr>
          <w:p w14:paraId="1E54B07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10,000 × 24</w:t>
            </w:r>
          </w:p>
        </w:tc>
        <w:tc>
          <w:tcPr>
            <w:tcW w:w="1704" w:type="dxa"/>
            <w:shd w:val="clear" w:color="auto" w:fill="FFFFFF"/>
            <w:vAlign w:val="center"/>
          </w:tcPr>
          <w:p w14:paraId="32038A9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240,000</w:t>
            </w:r>
          </w:p>
        </w:tc>
      </w:tr>
      <w:tr w:rsidR="00C40C09" w:rsidRPr="00154DD5" w14:paraId="12E0F879" w14:textId="77777777">
        <w:trPr>
          <w:jc w:val="center"/>
        </w:trPr>
        <w:tc>
          <w:tcPr>
            <w:tcW w:w="1704" w:type="dxa"/>
            <w:shd w:val="clear" w:color="auto" w:fill="FFFFFF"/>
            <w:vAlign w:val="center"/>
          </w:tcPr>
          <w:p w14:paraId="743FCA5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F5 Records/certificates</w:t>
            </w:r>
          </w:p>
        </w:tc>
        <w:tc>
          <w:tcPr>
            <w:tcW w:w="1704" w:type="dxa"/>
            <w:shd w:val="clear" w:color="auto" w:fill="FFFFFF"/>
            <w:vAlign w:val="center"/>
          </w:tcPr>
          <w:p w14:paraId="4E43143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5,000</w:t>
            </w:r>
          </w:p>
        </w:tc>
        <w:tc>
          <w:tcPr>
            <w:tcW w:w="1704" w:type="dxa"/>
            <w:shd w:val="clear" w:color="auto" w:fill="FFFFFF"/>
            <w:vAlign w:val="center"/>
          </w:tcPr>
          <w:p w14:paraId="7E6C9338"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5,000 × 8</w:t>
            </w:r>
          </w:p>
        </w:tc>
        <w:tc>
          <w:tcPr>
            <w:tcW w:w="1704" w:type="dxa"/>
            <w:shd w:val="clear" w:color="auto" w:fill="FFFFFF"/>
            <w:vAlign w:val="center"/>
          </w:tcPr>
          <w:p w14:paraId="2658BF7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40,000</w:t>
            </w:r>
          </w:p>
        </w:tc>
        <w:tc>
          <w:tcPr>
            <w:tcW w:w="1704" w:type="dxa"/>
            <w:shd w:val="clear" w:color="auto" w:fill="FFFFFF"/>
            <w:vAlign w:val="center"/>
          </w:tcPr>
          <w:p w14:paraId="35B6C08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5,000 × 24</w:t>
            </w:r>
          </w:p>
        </w:tc>
        <w:tc>
          <w:tcPr>
            <w:tcW w:w="1704" w:type="dxa"/>
            <w:shd w:val="clear" w:color="auto" w:fill="FFFFFF"/>
            <w:vAlign w:val="center"/>
          </w:tcPr>
          <w:p w14:paraId="3F03E12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120,000</w:t>
            </w:r>
          </w:p>
        </w:tc>
      </w:tr>
      <w:tr w:rsidR="00C40C09" w:rsidRPr="00154DD5" w14:paraId="7669EAB3" w14:textId="77777777">
        <w:trPr>
          <w:jc w:val="center"/>
        </w:trPr>
        <w:tc>
          <w:tcPr>
            <w:tcW w:w="1704" w:type="dxa"/>
            <w:shd w:val="clear" w:color="auto" w:fill="FFFFFF"/>
            <w:vAlign w:val="center"/>
          </w:tcPr>
          <w:p w14:paraId="5BA8FDF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Combined total</w:t>
            </w:r>
          </w:p>
        </w:tc>
        <w:tc>
          <w:tcPr>
            <w:tcW w:w="1704" w:type="dxa"/>
            <w:shd w:val="clear" w:color="auto" w:fill="FFFFFF"/>
            <w:vAlign w:val="center"/>
          </w:tcPr>
          <w:p w14:paraId="7D24D069" w14:textId="77777777" w:rsidR="00C40C09" w:rsidRPr="00154DD5" w:rsidRDefault="00C40C09">
            <w:pPr>
              <w:spacing w:after="20"/>
              <w:rPr>
                <w:rFonts w:ascii="Times New Roman" w:hAnsi="Times New Roman" w:cs="Times New Roman"/>
              </w:rPr>
            </w:pPr>
          </w:p>
        </w:tc>
        <w:tc>
          <w:tcPr>
            <w:tcW w:w="1704" w:type="dxa"/>
            <w:shd w:val="clear" w:color="auto" w:fill="FFFFFF"/>
            <w:vAlign w:val="center"/>
          </w:tcPr>
          <w:p w14:paraId="085C55DE" w14:textId="77777777" w:rsidR="00C40C09" w:rsidRPr="00154DD5" w:rsidRDefault="00C40C09">
            <w:pPr>
              <w:spacing w:after="20"/>
              <w:rPr>
                <w:rFonts w:ascii="Times New Roman" w:hAnsi="Times New Roman" w:cs="Times New Roman"/>
              </w:rPr>
            </w:pPr>
          </w:p>
        </w:tc>
        <w:tc>
          <w:tcPr>
            <w:tcW w:w="1704" w:type="dxa"/>
            <w:shd w:val="clear" w:color="auto" w:fill="FFFFFF"/>
            <w:vAlign w:val="center"/>
          </w:tcPr>
          <w:p w14:paraId="5956D3B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1,200,000</w:t>
            </w:r>
          </w:p>
        </w:tc>
        <w:tc>
          <w:tcPr>
            <w:tcW w:w="1704" w:type="dxa"/>
            <w:shd w:val="clear" w:color="auto" w:fill="FFFFFF"/>
            <w:vAlign w:val="center"/>
          </w:tcPr>
          <w:p w14:paraId="73057B9B" w14:textId="77777777" w:rsidR="00C40C09" w:rsidRPr="00154DD5" w:rsidRDefault="00C40C09">
            <w:pPr>
              <w:spacing w:after="20"/>
              <w:rPr>
                <w:rFonts w:ascii="Times New Roman" w:hAnsi="Times New Roman" w:cs="Times New Roman"/>
              </w:rPr>
            </w:pPr>
          </w:p>
        </w:tc>
        <w:tc>
          <w:tcPr>
            <w:tcW w:w="1704" w:type="dxa"/>
            <w:shd w:val="clear" w:color="auto" w:fill="FFFFFF"/>
            <w:vAlign w:val="center"/>
          </w:tcPr>
          <w:p w14:paraId="3463DED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3,360,000</w:t>
            </w:r>
          </w:p>
        </w:tc>
      </w:tr>
    </w:tbl>
    <w:p w14:paraId="585DBF20" w14:textId="77777777" w:rsidR="00C40C09" w:rsidRPr="00154DD5" w:rsidRDefault="00C40C09">
      <w:pPr>
        <w:rPr>
          <w:rFonts w:ascii="Times New Roman" w:hAnsi="Times New Roman" w:cs="Times New Roman"/>
        </w:rPr>
      </w:pPr>
    </w:p>
    <w:p w14:paraId="1F7A1042" w14:textId="77777777" w:rsidR="00C40C09" w:rsidRPr="00154DD5" w:rsidRDefault="00D07DBA">
      <w:pPr>
        <w:rPr>
          <w:rFonts w:ascii="Times New Roman" w:hAnsi="Times New Roman" w:cs="Times New Roman"/>
        </w:rPr>
      </w:pPr>
      <w:r w:rsidRPr="00154DD5">
        <w:rPr>
          <w:rFonts w:ascii="Times New Roman" w:hAnsi="Times New Roman" w:cs="Times New Roman"/>
        </w:rPr>
        <w:t>Calculation check: recurring hourly impact is ₦135,000 per hour across all functions. Over eight hours this is ₦1,080,000, plus ₦120,000 once for the missed examination, giving ₦1,200,000. Over 24 hours it is ₦3,240,000 plus the same one-off cost, giving ₦3,360,000.</w:t>
      </w:r>
    </w:p>
    <w:p w14:paraId="28CE8174" w14:textId="77777777" w:rsidR="00C40C09" w:rsidRPr="00154DD5" w:rsidRDefault="00D07DBA">
      <w:pPr>
        <w:rPr>
          <w:rFonts w:ascii="Times New Roman" w:hAnsi="Times New Roman" w:cs="Times New Roman"/>
        </w:rPr>
      </w:pPr>
      <w:r w:rsidRPr="00154DD5">
        <w:rPr>
          <w:rFonts w:ascii="Times New Roman" w:hAnsi="Times New Roman" w:cs="Times New Roman"/>
        </w:rPr>
        <w:t xml:space="preserve">Two limitations are important. First, the hourly rates are simplified exercise estimates; real losses may be nonlinear, overlap, or change as deadlines approach. Second, they omit or do not quantify learner welfare, reputational damage, data integrity, staff time, legal exposure, and the effect of manual workarounds. Financial cost should not be treated as a complete measure of harm. The 11:00 examination creates an immediate continuity decision even if the full LMS restoration cannot finish by then. Later </w:t>
      </w:r>
      <w:r w:rsidRPr="00154DD5">
        <w:rPr>
          <w:rFonts w:ascii="Times New Roman" w:hAnsi="Times New Roman" w:cs="Times New Roman"/>
        </w:rPr>
        <w:t>fee, admissions and payroll deadlines similarly require temporary controls rather than waiting passively for technology.</w:t>
      </w:r>
    </w:p>
    <w:p w14:paraId="154911F0" w14:textId="77777777" w:rsidR="00C40C09" w:rsidRPr="00154DD5" w:rsidRDefault="00D07DBA">
      <w:pPr>
        <w:rPr>
          <w:rFonts w:ascii="Times New Roman" w:hAnsi="Times New Roman" w:cs="Times New Roman"/>
        </w:rPr>
      </w:pPr>
      <w:r w:rsidRPr="00154DD5">
        <w:rPr>
          <w:rFonts w:ascii="Times New Roman" w:hAnsi="Times New Roman" w:cs="Times New Roman"/>
        </w:rPr>
        <w:t xml:space="preserve">The impact figures should not be treated as a complete valuation of the incident. For example, the ₦60,000 hourly rate for F1 does not measure the effect of an unfair or inaccessible examination, loss of learner confidence, or the staff time needed to investigate disputed submissions. These impacts should be recorded separately in the situation report instead of being assigned an invented monetary value. The same principle applies to F4: a payroll delay may create hardship for staff even where the exercise </w:t>
      </w:r>
      <w:r w:rsidRPr="00154DD5">
        <w:rPr>
          <w:rFonts w:ascii="Times New Roman" w:hAnsi="Times New Roman" w:cs="Times New Roman"/>
        </w:rPr>
        <w:t>rate is comparatively low. The coordinator should therefore report both the calculated cost and the non-financial consequences when asking leadership to approve a workaround.</w:t>
      </w:r>
    </w:p>
    <w:p w14:paraId="2F41F303"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1.3 Dependency risks</w:t>
      </w:r>
    </w:p>
    <w:p w14:paraId="1014973B" w14:textId="77777777" w:rsidR="00C40C09" w:rsidRPr="00154DD5" w:rsidRDefault="00D07DBA">
      <w:pPr>
        <w:pStyle w:val="ListBullet"/>
        <w:rPr>
          <w:rFonts w:ascii="Times New Roman" w:hAnsi="Times New Roman" w:cs="Times New Roman"/>
        </w:rPr>
      </w:pPr>
      <w:r w:rsidRPr="00154DD5">
        <w:rPr>
          <w:rFonts w:ascii="Times New Roman" w:hAnsi="Times New Roman" w:cs="Times New Roman"/>
        </w:rPr>
        <w:t>Shared DB01 is a single dependency for F1–F4. If its restore fails or data is inconsistent, four functions remain impaired.</w:t>
      </w:r>
    </w:p>
    <w:p w14:paraId="00FA5D72" w14:textId="77777777" w:rsidR="00C40C09" w:rsidRPr="00154DD5" w:rsidRDefault="00D07DBA">
      <w:pPr>
        <w:pStyle w:val="ListBullet"/>
        <w:rPr>
          <w:rFonts w:ascii="Times New Roman" w:hAnsi="Times New Roman" w:cs="Times New Roman"/>
        </w:rPr>
      </w:pPr>
      <w:r w:rsidRPr="00154DD5">
        <w:rPr>
          <w:rFonts w:ascii="Times New Roman" w:hAnsi="Times New Roman" w:cs="Times New Roman"/>
        </w:rPr>
        <w:t>AUTH01 is required for local access. Restoring applications without valid identity services may leave them technically running but unusable.</w:t>
      </w:r>
    </w:p>
    <w:p w14:paraId="1FDF9BEF" w14:textId="77777777" w:rsidR="00C40C09" w:rsidRPr="00154DD5" w:rsidRDefault="00D07DBA">
      <w:pPr>
        <w:pStyle w:val="ListBullet"/>
        <w:rPr>
          <w:rFonts w:ascii="Times New Roman" w:hAnsi="Times New Roman" w:cs="Times New Roman"/>
        </w:rPr>
      </w:pPr>
      <w:r w:rsidRPr="00154DD5">
        <w:rPr>
          <w:rFonts w:ascii="Times New Roman" w:hAnsi="Times New Roman" w:cs="Times New Roman"/>
        </w:rPr>
        <w:lastRenderedPageBreak/>
        <w:t>All functions depend on a secure recovery network, available staff and reliable communications; mobile internet is useful but may be capacity-limited.</w:t>
      </w:r>
    </w:p>
    <w:p w14:paraId="606DD82B" w14:textId="77777777" w:rsidR="00C40C09" w:rsidRPr="00154DD5" w:rsidRDefault="00D07DBA">
      <w:pPr>
        <w:pStyle w:val="ListBullet"/>
        <w:rPr>
          <w:rFonts w:ascii="Times New Roman" w:hAnsi="Times New Roman" w:cs="Times New Roman"/>
        </w:rPr>
      </w:pPr>
      <w:r w:rsidRPr="00154DD5">
        <w:rPr>
          <w:rFonts w:ascii="Times New Roman" w:hAnsi="Times New Roman" w:cs="Times New Roman"/>
        </w:rPr>
        <w:t>The shared administrator identity for production and backup administration creates a risk that one compromised account could affect both live systems and recovery copies.</w:t>
      </w:r>
    </w:p>
    <w:p w14:paraId="710AE5BD" w14:textId="77777777" w:rsidR="00C40C09" w:rsidRPr="00154DD5" w:rsidRDefault="00D07DBA">
      <w:pPr>
        <w:pStyle w:val="ListBullet"/>
        <w:rPr>
          <w:rFonts w:ascii="Times New Roman" w:hAnsi="Times New Roman" w:cs="Times New Roman"/>
        </w:rPr>
      </w:pPr>
      <w:r w:rsidRPr="00154DD5">
        <w:rPr>
          <w:rFonts w:ascii="Times New Roman" w:hAnsi="Times New Roman" w:cs="Times New Roman"/>
        </w:rPr>
        <w:t>Manual finance and admissions records can be duplicated or altered unless access, approval, timestamps and later reconciliation are controlled.</w:t>
      </w:r>
    </w:p>
    <w:p w14:paraId="4A1C6C69" w14:textId="77777777" w:rsidR="00C40C09" w:rsidRPr="00154DD5" w:rsidRDefault="00D07DBA">
      <w:pPr>
        <w:pStyle w:val="Heading1"/>
        <w:rPr>
          <w:rFonts w:ascii="Times New Roman" w:hAnsi="Times New Roman" w:cs="Times New Roman"/>
        </w:rPr>
      </w:pPr>
      <w:r w:rsidRPr="00154DD5">
        <w:rPr>
          <w:rFonts w:ascii="Times New Roman" w:hAnsi="Times New Roman" w:cs="Times New Roman"/>
        </w:rPr>
        <w:t>Task 2: Recovery Objectives and Backup Design</w:t>
      </w:r>
    </w:p>
    <w:p w14:paraId="3F77CF96"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2.1 Definitions and targets</w:t>
      </w:r>
    </w:p>
    <w:p w14:paraId="7263865B" w14:textId="77777777" w:rsidR="00C40C09" w:rsidRPr="00154DD5" w:rsidRDefault="00D07DBA">
      <w:pPr>
        <w:rPr>
          <w:rFonts w:ascii="Times New Roman" w:hAnsi="Times New Roman" w:cs="Times New Roman"/>
        </w:rPr>
      </w:pPr>
      <w:r w:rsidRPr="00154DD5">
        <w:rPr>
          <w:rFonts w:ascii="Times New Roman" w:hAnsi="Times New Roman" w:cs="Times New Roman"/>
        </w:rPr>
        <w:t>Recovery Time Objective (RTO) is the target elapsed time to restore an agreed level of service after disruption. Recovery Point Objective (RPO) is the maximum acceptable age of data that may be lost, measured from the disruption point. Maximum Tolerable Downtime (MTD) is the longest period a function can be unavailable before consequences become unacceptable. Recovery is declared only when the application or file service passes technical checks and its business owner confirms that the minimum service works.</w:t>
      </w:r>
      <w:r w:rsidRPr="00154DD5">
        <w:rPr>
          <w:rFonts w:ascii="Times New Roman" w:hAnsi="Times New Roman" w:cs="Times New Roman"/>
        </w:rPr>
        <w:t xml:space="preserve"> A buffer between RTO and MTD is necessary for validation, user access and unexpected delays.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2"/>
        <w:gridCol w:w="2042"/>
        <w:gridCol w:w="2041"/>
        <w:gridCol w:w="2041"/>
        <w:gridCol w:w="2042"/>
      </w:tblGrid>
      <w:tr w:rsidR="00C40C09" w:rsidRPr="00154DD5" w14:paraId="0A88B51D" w14:textId="77777777">
        <w:trPr>
          <w:jc w:val="center"/>
        </w:trPr>
        <w:tc>
          <w:tcPr>
            <w:tcW w:w="2045" w:type="dxa"/>
            <w:shd w:val="clear" w:color="auto" w:fill="FFFFFF"/>
            <w:vAlign w:val="center"/>
          </w:tcPr>
          <w:p w14:paraId="6F263B3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Function</w:t>
            </w:r>
          </w:p>
        </w:tc>
        <w:tc>
          <w:tcPr>
            <w:tcW w:w="2045" w:type="dxa"/>
            <w:shd w:val="clear" w:color="auto" w:fill="FFFFFF"/>
            <w:vAlign w:val="center"/>
          </w:tcPr>
          <w:p w14:paraId="28BB2F1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Proposed RTO</w:t>
            </w:r>
          </w:p>
        </w:tc>
        <w:tc>
          <w:tcPr>
            <w:tcW w:w="2045" w:type="dxa"/>
            <w:shd w:val="clear" w:color="auto" w:fill="FFFFFF"/>
            <w:vAlign w:val="center"/>
          </w:tcPr>
          <w:p w14:paraId="300B159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Proposed RPO</w:t>
            </w:r>
          </w:p>
        </w:tc>
        <w:tc>
          <w:tcPr>
            <w:tcW w:w="2045" w:type="dxa"/>
            <w:shd w:val="clear" w:color="auto" w:fill="FFFFFF"/>
            <w:vAlign w:val="center"/>
          </w:tcPr>
          <w:p w14:paraId="3447580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Proposed MTD</w:t>
            </w:r>
          </w:p>
        </w:tc>
        <w:tc>
          <w:tcPr>
            <w:tcW w:w="2045" w:type="dxa"/>
            <w:shd w:val="clear" w:color="auto" w:fill="FFFFFF"/>
            <w:vAlign w:val="center"/>
          </w:tcPr>
          <w:p w14:paraId="3009FF0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Justification / declaration</w:t>
            </w:r>
          </w:p>
        </w:tc>
      </w:tr>
      <w:tr w:rsidR="00C40C09" w:rsidRPr="00154DD5" w14:paraId="5A289D3D" w14:textId="77777777">
        <w:trPr>
          <w:jc w:val="center"/>
        </w:trPr>
        <w:tc>
          <w:tcPr>
            <w:tcW w:w="2045" w:type="dxa"/>
            <w:shd w:val="clear" w:color="auto" w:fill="FFFFFF"/>
            <w:vAlign w:val="center"/>
          </w:tcPr>
          <w:p w14:paraId="3998D4A8"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F1</w:t>
            </w:r>
          </w:p>
        </w:tc>
        <w:tc>
          <w:tcPr>
            <w:tcW w:w="2045" w:type="dxa"/>
            <w:shd w:val="clear" w:color="auto" w:fill="FFFFFF"/>
            <w:vAlign w:val="center"/>
          </w:tcPr>
          <w:p w14:paraId="3722F09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4 hours for restored LMS; continuity service by 11:00</w:t>
            </w:r>
          </w:p>
        </w:tc>
        <w:tc>
          <w:tcPr>
            <w:tcW w:w="2045" w:type="dxa"/>
            <w:shd w:val="clear" w:color="auto" w:fill="FFFFFF"/>
            <w:vAlign w:val="center"/>
          </w:tcPr>
          <w:p w14:paraId="5273EC1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 hour</w:t>
            </w:r>
          </w:p>
        </w:tc>
        <w:tc>
          <w:tcPr>
            <w:tcW w:w="2045" w:type="dxa"/>
            <w:shd w:val="clear" w:color="auto" w:fill="FFFFFF"/>
            <w:vAlign w:val="center"/>
          </w:tcPr>
          <w:p w14:paraId="4434895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5 hours</w:t>
            </w:r>
          </w:p>
        </w:tc>
        <w:tc>
          <w:tcPr>
            <w:tcW w:w="2045" w:type="dxa"/>
            <w:shd w:val="clear" w:color="auto" w:fill="FFFFFF"/>
            <w:vAlign w:val="center"/>
          </w:tcPr>
          <w:p w14:paraId="2E85B2C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Examination deadline is earlier than modelled restoration. Use an approved alternative assessment service by 11:00; declare recovered only after access, integrity and submission tests.</w:t>
            </w:r>
          </w:p>
        </w:tc>
      </w:tr>
      <w:tr w:rsidR="00C40C09" w:rsidRPr="00154DD5" w14:paraId="5B556425" w14:textId="77777777">
        <w:trPr>
          <w:jc w:val="center"/>
        </w:trPr>
        <w:tc>
          <w:tcPr>
            <w:tcW w:w="2045" w:type="dxa"/>
            <w:shd w:val="clear" w:color="auto" w:fill="FFFFFF"/>
            <w:vAlign w:val="center"/>
          </w:tcPr>
          <w:p w14:paraId="63250D4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F2</w:t>
            </w:r>
          </w:p>
        </w:tc>
        <w:tc>
          <w:tcPr>
            <w:tcW w:w="2045" w:type="dxa"/>
            <w:shd w:val="clear" w:color="auto" w:fill="FFFFFF"/>
            <w:vAlign w:val="center"/>
          </w:tcPr>
          <w:p w14:paraId="1F7BD1D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8 hours</w:t>
            </w:r>
          </w:p>
        </w:tc>
        <w:tc>
          <w:tcPr>
            <w:tcW w:w="2045" w:type="dxa"/>
            <w:shd w:val="clear" w:color="auto" w:fill="FFFFFF"/>
            <w:vAlign w:val="center"/>
          </w:tcPr>
          <w:p w14:paraId="6C2CCAB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 hour</w:t>
            </w:r>
          </w:p>
        </w:tc>
        <w:tc>
          <w:tcPr>
            <w:tcW w:w="2045" w:type="dxa"/>
            <w:shd w:val="clear" w:color="auto" w:fill="FFFFFF"/>
            <w:vAlign w:val="center"/>
          </w:tcPr>
          <w:p w14:paraId="0D68AFA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12 hours</w:t>
            </w:r>
          </w:p>
        </w:tc>
        <w:tc>
          <w:tcPr>
            <w:tcW w:w="2045" w:type="dxa"/>
            <w:shd w:val="clear" w:color="auto" w:fill="FFFFFF"/>
            <w:vAlign w:val="center"/>
          </w:tcPr>
          <w:p w14:paraId="0426B0B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Fee confirmation due at 16:00. Reconcile payment-provider transactions against controlled temporary records.</w:t>
            </w:r>
          </w:p>
        </w:tc>
      </w:tr>
      <w:tr w:rsidR="00C40C09" w:rsidRPr="00154DD5" w14:paraId="19A344BF" w14:textId="77777777">
        <w:trPr>
          <w:jc w:val="center"/>
        </w:trPr>
        <w:tc>
          <w:tcPr>
            <w:tcW w:w="2045" w:type="dxa"/>
            <w:shd w:val="clear" w:color="auto" w:fill="FFFFFF"/>
            <w:vAlign w:val="center"/>
          </w:tcPr>
          <w:p w14:paraId="75EFC438"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F3</w:t>
            </w:r>
          </w:p>
        </w:tc>
        <w:tc>
          <w:tcPr>
            <w:tcW w:w="2045" w:type="dxa"/>
            <w:shd w:val="clear" w:color="auto" w:fill="FFFFFF"/>
            <w:vAlign w:val="center"/>
          </w:tcPr>
          <w:p w14:paraId="0A477DF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10 hours</w:t>
            </w:r>
          </w:p>
        </w:tc>
        <w:tc>
          <w:tcPr>
            <w:tcW w:w="2045" w:type="dxa"/>
            <w:shd w:val="clear" w:color="auto" w:fill="FFFFFF"/>
            <w:vAlign w:val="center"/>
          </w:tcPr>
          <w:p w14:paraId="73B7927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 hour</w:t>
            </w:r>
          </w:p>
        </w:tc>
        <w:tc>
          <w:tcPr>
            <w:tcW w:w="2045" w:type="dxa"/>
            <w:shd w:val="clear" w:color="auto" w:fill="FFFFFF"/>
            <w:vAlign w:val="center"/>
          </w:tcPr>
          <w:p w14:paraId="6479D79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24 hours</w:t>
            </w:r>
          </w:p>
        </w:tc>
        <w:tc>
          <w:tcPr>
            <w:tcW w:w="2045" w:type="dxa"/>
            <w:shd w:val="clear" w:color="auto" w:fill="FFFFFF"/>
            <w:vAlign w:val="center"/>
          </w:tcPr>
          <w:p w14:paraId="31515E8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Admissions close at 18:00; timestamp and protect submissions while local entry is unavailable.</w:t>
            </w:r>
          </w:p>
        </w:tc>
      </w:tr>
      <w:tr w:rsidR="00C40C09" w:rsidRPr="00154DD5" w14:paraId="6E4E0517" w14:textId="77777777">
        <w:trPr>
          <w:jc w:val="center"/>
        </w:trPr>
        <w:tc>
          <w:tcPr>
            <w:tcW w:w="2045" w:type="dxa"/>
            <w:shd w:val="clear" w:color="auto" w:fill="FFFFFF"/>
            <w:vAlign w:val="center"/>
          </w:tcPr>
          <w:p w14:paraId="27910A9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F4</w:t>
            </w:r>
          </w:p>
        </w:tc>
        <w:tc>
          <w:tcPr>
            <w:tcW w:w="2045" w:type="dxa"/>
            <w:shd w:val="clear" w:color="auto" w:fill="FFFFFF"/>
            <w:vAlign w:val="center"/>
          </w:tcPr>
          <w:p w14:paraId="0250D77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20 hours</w:t>
            </w:r>
          </w:p>
        </w:tc>
        <w:tc>
          <w:tcPr>
            <w:tcW w:w="2045" w:type="dxa"/>
            <w:shd w:val="clear" w:color="auto" w:fill="FFFFFF"/>
            <w:vAlign w:val="center"/>
          </w:tcPr>
          <w:p w14:paraId="7267C7E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 hour</w:t>
            </w:r>
          </w:p>
        </w:tc>
        <w:tc>
          <w:tcPr>
            <w:tcW w:w="2045" w:type="dxa"/>
            <w:shd w:val="clear" w:color="auto" w:fill="FFFFFF"/>
            <w:vAlign w:val="center"/>
          </w:tcPr>
          <w:p w14:paraId="126DB00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36 hours</w:t>
            </w:r>
          </w:p>
        </w:tc>
        <w:tc>
          <w:tcPr>
            <w:tcW w:w="2045" w:type="dxa"/>
            <w:shd w:val="clear" w:color="auto" w:fill="FFFFFF"/>
            <w:vAlign w:val="center"/>
          </w:tcPr>
          <w:p w14:paraId="1507FBA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Bank file due at noon on Day 1. Payroll needs dual approval and duplicate checking before release.</w:t>
            </w:r>
          </w:p>
        </w:tc>
      </w:tr>
      <w:tr w:rsidR="00C40C09" w:rsidRPr="00154DD5" w14:paraId="36F2ADD7" w14:textId="77777777">
        <w:trPr>
          <w:jc w:val="center"/>
        </w:trPr>
        <w:tc>
          <w:tcPr>
            <w:tcW w:w="2045" w:type="dxa"/>
            <w:shd w:val="clear" w:color="auto" w:fill="FFFFFF"/>
            <w:vAlign w:val="center"/>
          </w:tcPr>
          <w:p w14:paraId="422631E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F5</w:t>
            </w:r>
          </w:p>
        </w:tc>
        <w:tc>
          <w:tcPr>
            <w:tcW w:w="2045" w:type="dxa"/>
            <w:shd w:val="clear" w:color="auto" w:fill="FFFFFF"/>
            <w:vAlign w:val="center"/>
          </w:tcPr>
          <w:p w14:paraId="4E54353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36 hours</w:t>
            </w:r>
          </w:p>
        </w:tc>
        <w:tc>
          <w:tcPr>
            <w:tcW w:w="2045" w:type="dxa"/>
            <w:shd w:val="clear" w:color="auto" w:fill="FFFFFF"/>
            <w:vAlign w:val="center"/>
          </w:tcPr>
          <w:p w14:paraId="0F8A6CD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9 hours initially; improve to 4 hours</w:t>
            </w:r>
          </w:p>
        </w:tc>
        <w:tc>
          <w:tcPr>
            <w:tcW w:w="2045" w:type="dxa"/>
            <w:shd w:val="clear" w:color="auto" w:fill="FFFFFF"/>
            <w:vAlign w:val="center"/>
          </w:tcPr>
          <w:p w14:paraId="4C7DBF6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48 hours</w:t>
            </w:r>
          </w:p>
        </w:tc>
        <w:tc>
          <w:tcPr>
            <w:tcW w:w="2045" w:type="dxa"/>
            <w:shd w:val="clear" w:color="auto" w:fill="FFFFFF"/>
            <w:vAlign w:val="center"/>
          </w:tcPr>
          <w:p w14:paraId="0F25C49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The current FS01 checkpoint is nine hours old; a tighter target requires more frequent backup and tested restoration.</w:t>
            </w:r>
          </w:p>
        </w:tc>
      </w:tr>
    </w:tbl>
    <w:p w14:paraId="1703EFAB" w14:textId="77777777" w:rsidR="00C40C09" w:rsidRPr="00154DD5" w:rsidRDefault="00C40C09">
      <w:pPr>
        <w:rPr>
          <w:rFonts w:ascii="Times New Roman" w:hAnsi="Times New Roman" w:cs="Times New Roman"/>
        </w:rPr>
      </w:pPr>
    </w:p>
    <w:p w14:paraId="0D0E2F71" w14:textId="77777777" w:rsidR="00C40C09" w:rsidRPr="00154DD5" w:rsidRDefault="00D07DBA">
      <w:pPr>
        <w:rPr>
          <w:rFonts w:ascii="Times New Roman" w:hAnsi="Times New Roman" w:cs="Times New Roman"/>
        </w:rPr>
      </w:pPr>
      <w:r w:rsidRPr="00154DD5">
        <w:rPr>
          <w:rFonts w:ascii="Times New Roman" w:hAnsi="Times New Roman" w:cs="Times New Roman"/>
        </w:rPr>
        <w:t>These targets are proposed planning commitments, not guarantees. The MTD values include limited buffers beyond RTO for validation and controlled business resumption. F1's 11:00 requirement is a service deadline, not a promise that the full application can be restored in three hours.</w:t>
      </w:r>
    </w:p>
    <w:p w14:paraId="743EBDFE"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2.2 Checkpoint age and potential data loss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3"/>
        <w:gridCol w:w="2041"/>
        <w:gridCol w:w="2040"/>
        <w:gridCol w:w="2041"/>
        <w:gridCol w:w="2043"/>
      </w:tblGrid>
      <w:tr w:rsidR="00C40C09" w:rsidRPr="00154DD5" w14:paraId="375D29A4" w14:textId="77777777">
        <w:trPr>
          <w:jc w:val="center"/>
        </w:trPr>
        <w:tc>
          <w:tcPr>
            <w:tcW w:w="2045" w:type="dxa"/>
            <w:shd w:val="clear" w:color="auto" w:fill="FFFFFF"/>
            <w:vAlign w:val="center"/>
          </w:tcPr>
          <w:p w14:paraId="260B9F1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System/checkpoint</w:t>
            </w:r>
          </w:p>
        </w:tc>
        <w:tc>
          <w:tcPr>
            <w:tcW w:w="2045" w:type="dxa"/>
            <w:shd w:val="clear" w:color="auto" w:fill="FFFFFF"/>
            <w:vAlign w:val="center"/>
          </w:tcPr>
          <w:p w14:paraId="26E37C9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Latest available point</w:t>
            </w:r>
          </w:p>
        </w:tc>
        <w:tc>
          <w:tcPr>
            <w:tcW w:w="2045" w:type="dxa"/>
            <w:shd w:val="clear" w:color="auto" w:fill="FFFFFF"/>
            <w:vAlign w:val="center"/>
          </w:tcPr>
          <w:p w14:paraId="002F860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Age at 08:00 Day 0</w:t>
            </w:r>
          </w:p>
        </w:tc>
        <w:tc>
          <w:tcPr>
            <w:tcW w:w="2045" w:type="dxa"/>
            <w:shd w:val="clear" w:color="auto" w:fill="FFFFFF"/>
            <w:vAlign w:val="center"/>
          </w:tcPr>
          <w:p w14:paraId="3A354D8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Functions affected</w:t>
            </w:r>
          </w:p>
        </w:tc>
        <w:tc>
          <w:tcPr>
            <w:tcW w:w="2045" w:type="dxa"/>
            <w:shd w:val="clear" w:color="auto" w:fill="FFFFFF"/>
            <w:vAlign w:val="center"/>
          </w:tcPr>
          <w:p w14:paraId="29EAFF9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Assessment against target</w:t>
            </w:r>
          </w:p>
        </w:tc>
      </w:tr>
      <w:tr w:rsidR="00C40C09" w:rsidRPr="00154DD5" w14:paraId="7B48B6F7" w14:textId="77777777">
        <w:trPr>
          <w:jc w:val="center"/>
        </w:trPr>
        <w:tc>
          <w:tcPr>
            <w:tcW w:w="2045" w:type="dxa"/>
            <w:shd w:val="clear" w:color="auto" w:fill="FFFFFF"/>
            <w:vAlign w:val="center"/>
          </w:tcPr>
          <w:p w14:paraId="0C1338D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DB01: B01 full + B02 incremental chain</w:t>
            </w:r>
          </w:p>
        </w:tc>
        <w:tc>
          <w:tcPr>
            <w:tcW w:w="2045" w:type="dxa"/>
            <w:shd w:val="clear" w:color="auto" w:fill="FFFFFF"/>
            <w:vAlign w:val="center"/>
          </w:tcPr>
          <w:p w14:paraId="587970A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07:00 Day 0, provided B01 and every required incremental through 07:00 validate</w:t>
            </w:r>
          </w:p>
        </w:tc>
        <w:tc>
          <w:tcPr>
            <w:tcW w:w="2045" w:type="dxa"/>
            <w:shd w:val="clear" w:color="auto" w:fill="FFFFFF"/>
            <w:vAlign w:val="center"/>
          </w:tcPr>
          <w:p w14:paraId="45E3352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 hour</w:t>
            </w:r>
          </w:p>
        </w:tc>
        <w:tc>
          <w:tcPr>
            <w:tcW w:w="2045" w:type="dxa"/>
            <w:shd w:val="clear" w:color="auto" w:fill="FFFFFF"/>
            <w:vAlign w:val="center"/>
          </w:tcPr>
          <w:p w14:paraId="387B9A8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F1, F2, F3, F4</w:t>
            </w:r>
          </w:p>
        </w:tc>
        <w:tc>
          <w:tcPr>
            <w:tcW w:w="2045" w:type="dxa"/>
            <w:shd w:val="clear" w:color="auto" w:fill="FFFFFF"/>
            <w:vAlign w:val="center"/>
          </w:tcPr>
          <w:p w14:paraId="78E4C43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Meets proposed 1-hour RPO only if the entire chain is complete, readable and consistent.</w:t>
            </w:r>
          </w:p>
        </w:tc>
      </w:tr>
      <w:tr w:rsidR="00C40C09" w:rsidRPr="00154DD5" w14:paraId="048786E8" w14:textId="77777777">
        <w:trPr>
          <w:jc w:val="center"/>
        </w:trPr>
        <w:tc>
          <w:tcPr>
            <w:tcW w:w="2045" w:type="dxa"/>
            <w:shd w:val="clear" w:color="auto" w:fill="FFFFFF"/>
            <w:vAlign w:val="center"/>
          </w:tcPr>
          <w:p w14:paraId="2FA0101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lastRenderedPageBreak/>
              <w:t>AUTH01: B03 snapshot</w:t>
            </w:r>
          </w:p>
        </w:tc>
        <w:tc>
          <w:tcPr>
            <w:tcW w:w="2045" w:type="dxa"/>
            <w:shd w:val="clear" w:color="auto" w:fill="FFFFFF"/>
            <w:vAlign w:val="center"/>
          </w:tcPr>
          <w:p w14:paraId="2A967E5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00:00 Day 0</w:t>
            </w:r>
          </w:p>
        </w:tc>
        <w:tc>
          <w:tcPr>
            <w:tcW w:w="2045" w:type="dxa"/>
            <w:shd w:val="clear" w:color="auto" w:fill="FFFFFF"/>
            <w:vAlign w:val="center"/>
          </w:tcPr>
          <w:p w14:paraId="6A7A126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8 hours</w:t>
            </w:r>
          </w:p>
        </w:tc>
        <w:tc>
          <w:tcPr>
            <w:tcW w:w="2045" w:type="dxa"/>
            <w:shd w:val="clear" w:color="auto" w:fill="FFFFFF"/>
            <w:vAlign w:val="center"/>
          </w:tcPr>
          <w:p w14:paraId="682176E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F1–F5</w:t>
            </w:r>
          </w:p>
        </w:tc>
        <w:tc>
          <w:tcPr>
            <w:tcW w:w="2045" w:type="dxa"/>
            <w:shd w:val="clear" w:color="auto" w:fill="FFFFFF"/>
            <w:vAlign w:val="center"/>
          </w:tcPr>
          <w:p w14:paraId="66DB423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Exceeds a 1-hour RPO; access/configuration changes since midnight may need controlled reconstruction.</w:t>
            </w:r>
          </w:p>
        </w:tc>
      </w:tr>
      <w:tr w:rsidR="00C40C09" w:rsidRPr="00154DD5" w14:paraId="6569C763" w14:textId="77777777">
        <w:trPr>
          <w:jc w:val="center"/>
        </w:trPr>
        <w:tc>
          <w:tcPr>
            <w:tcW w:w="2045" w:type="dxa"/>
            <w:shd w:val="clear" w:color="auto" w:fill="FFFFFF"/>
            <w:vAlign w:val="center"/>
          </w:tcPr>
          <w:p w14:paraId="5E4F26B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FS01: B04 full backup</w:t>
            </w:r>
          </w:p>
        </w:tc>
        <w:tc>
          <w:tcPr>
            <w:tcW w:w="2045" w:type="dxa"/>
            <w:shd w:val="clear" w:color="auto" w:fill="FFFFFF"/>
            <w:vAlign w:val="center"/>
          </w:tcPr>
          <w:p w14:paraId="1D8DB378"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23:00 Day −1</w:t>
            </w:r>
          </w:p>
        </w:tc>
        <w:tc>
          <w:tcPr>
            <w:tcW w:w="2045" w:type="dxa"/>
            <w:shd w:val="clear" w:color="auto" w:fill="FFFFFF"/>
            <w:vAlign w:val="center"/>
          </w:tcPr>
          <w:p w14:paraId="602ACCC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9 hours</w:t>
            </w:r>
          </w:p>
        </w:tc>
        <w:tc>
          <w:tcPr>
            <w:tcW w:w="2045" w:type="dxa"/>
            <w:shd w:val="clear" w:color="auto" w:fill="FFFFFF"/>
            <w:vAlign w:val="center"/>
          </w:tcPr>
          <w:p w14:paraId="64FE9B0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F5</w:t>
            </w:r>
          </w:p>
        </w:tc>
        <w:tc>
          <w:tcPr>
            <w:tcW w:w="2045" w:type="dxa"/>
            <w:shd w:val="clear" w:color="auto" w:fill="FFFFFF"/>
            <w:vAlign w:val="center"/>
          </w:tcPr>
          <w:p w14:paraId="168E1FE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Exceeds the proposed 4-hour improved target and is at the edge of the initial 9-hour tolerance. Recent file changes may be absent.</w:t>
            </w:r>
          </w:p>
        </w:tc>
      </w:tr>
    </w:tbl>
    <w:p w14:paraId="26131A33" w14:textId="77777777" w:rsidR="00C40C09" w:rsidRPr="00154DD5" w:rsidRDefault="00C40C09">
      <w:pPr>
        <w:rPr>
          <w:rFonts w:ascii="Times New Roman" w:hAnsi="Times New Roman" w:cs="Times New Roman"/>
        </w:rPr>
      </w:pPr>
    </w:p>
    <w:p w14:paraId="45E0EC52" w14:textId="77777777" w:rsidR="00C40C09" w:rsidRPr="00154DD5" w:rsidRDefault="00D07DBA">
      <w:pPr>
        <w:rPr>
          <w:rFonts w:ascii="Times New Roman" w:hAnsi="Times New Roman" w:cs="Times New Roman"/>
        </w:rPr>
      </w:pPr>
      <w:r w:rsidRPr="00154DD5">
        <w:rPr>
          <w:rFonts w:ascii="Times New Roman" w:hAnsi="Times New Roman" w:cs="Times New Roman"/>
        </w:rPr>
        <w:t xml:space="preserve">At 08:00, the disconnected full backup from 17:00 on Day −3 is older than B01/B03/B04 and should be retained as an additional recovery option, not chosen automatically over a verified newer copy. Payment-provider records and approved manual registers can support reconciliation of transactions, but they do not prove that every local database change, attachment, access-control setting or file revision can be reconstructed. Do not assume that missing records are recoverable unless an independent source exists </w:t>
      </w:r>
      <w:r w:rsidRPr="00154DD5">
        <w:rPr>
          <w:rFonts w:ascii="Times New Roman" w:hAnsi="Times New Roman" w:cs="Times New Roman"/>
        </w:rPr>
        <w:t>and the business owner validates it.</w:t>
      </w:r>
    </w:p>
    <w:p w14:paraId="60D6DECD"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2.3 Backup schedule and restoration controls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402"/>
        <w:gridCol w:w="3403"/>
        <w:gridCol w:w="3403"/>
      </w:tblGrid>
      <w:tr w:rsidR="00C40C09" w:rsidRPr="00154DD5" w14:paraId="37716715" w14:textId="77777777">
        <w:trPr>
          <w:jc w:val="center"/>
        </w:trPr>
        <w:tc>
          <w:tcPr>
            <w:tcW w:w="3408" w:type="dxa"/>
            <w:shd w:val="clear" w:color="auto" w:fill="FFFFFF"/>
            <w:vAlign w:val="center"/>
          </w:tcPr>
          <w:p w14:paraId="2E2E569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Data / system</w:t>
            </w:r>
          </w:p>
        </w:tc>
        <w:tc>
          <w:tcPr>
            <w:tcW w:w="3408" w:type="dxa"/>
            <w:shd w:val="clear" w:color="auto" w:fill="FFFFFF"/>
            <w:vAlign w:val="center"/>
          </w:tcPr>
          <w:p w14:paraId="42BC727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Proposed schedule</w:t>
            </w:r>
          </w:p>
        </w:tc>
        <w:tc>
          <w:tcPr>
            <w:tcW w:w="3408" w:type="dxa"/>
            <w:shd w:val="clear" w:color="auto" w:fill="FFFFFF"/>
            <w:vAlign w:val="center"/>
          </w:tcPr>
          <w:p w14:paraId="5280EF8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Retention and protection</w:t>
            </w:r>
          </w:p>
        </w:tc>
      </w:tr>
      <w:tr w:rsidR="00C40C09" w:rsidRPr="00154DD5" w14:paraId="53D860E7" w14:textId="77777777">
        <w:trPr>
          <w:jc w:val="center"/>
        </w:trPr>
        <w:tc>
          <w:tcPr>
            <w:tcW w:w="3408" w:type="dxa"/>
            <w:shd w:val="clear" w:color="auto" w:fill="FFFFFF"/>
            <w:vAlign w:val="center"/>
          </w:tcPr>
          <w:p w14:paraId="148C591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DB01</w:t>
            </w:r>
          </w:p>
        </w:tc>
        <w:tc>
          <w:tcPr>
            <w:tcW w:w="3408" w:type="dxa"/>
            <w:shd w:val="clear" w:color="auto" w:fill="FFFFFF"/>
            <w:vAlign w:val="center"/>
          </w:tcPr>
          <w:p w14:paraId="67426D4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Nightly full backup at 23:00; hourly incrementals; preserve an unbroken, catalogued chain through the latest checkpoint.</w:t>
            </w:r>
          </w:p>
        </w:tc>
        <w:tc>
          <w:tcPr>
            <w:tcW w:w="3408" w:type="dxa"/>
            <w:shd w:val="clear" w:color="auto" w:fill="FFFFFF"/>
            <w:vAlign w:val="center"/>
          </w:tcPr>
          <w:p w14:paraId="7A66C67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Daily copies 35 days; weekly fulls 12 weeks; monthly copies 12 months, subject to records policy. Keep at least one immutable/offline copy.</w:t>
            </w:r>
          </w:p>
        </w:tc>
      </w:tr>
      <w:tr w:rsidR="00C40C09" w:rsidRPr="00154DD5" w14:paraId="4C1B3B17" w14:textId="77777777">
        <w:trPr>
          <w:jc w:val="center"/>
        </w:trPr>
        <w:tc>
          <w:tcPr>
            <w:tcW w:w="3408" w:type="dxa"/>
            <w:shd w:val="clear" w:color="auto" w:fill="FFFFFF"/>
            <w:vAlign w:val="center"/>
          </w:tcPr>
          <w:p w14:paraId="2F0A551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AUTH01</w:t>
            </w:r>
          </w:p>
        </w:tc>
        <w:tc>
          <w:tcPr>
            <w:tcW w:w="3408" w:type="dxa"/>
            <w:shd w:val="clear" w:color="auto" w:fill="FFFFFF"/>
            <w:vAlign w:val="center"/>
          </w:tcPr>
          <w:p w14:paraId="3A6E03C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Daily configuration-aware snapshot and export after approved changes; retain a known-good configuration baseline.</w:t>
            </w:r>
          </w:p>
        </w:tc>
        <w:tc>
          <w:tcPr>
            <w:tcW w:w="3408" w:type="dxa"/>
            <w:shd w:val="clear" w:color="auto" w:fill="FFFFFF"/>
            <w:vAlign w:val="center"/>
          </w:tcPr>
          <w:p w14:paraId="2994CA2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Daily 35 days and monthly 12 months; protect directory secrets separately and test recovery of identity, policies and service accounts.</w:t>
            </w:r>
          </w:p>
        </w:tc>
      </w:tr>
      <w:tr w:rsidR="00C40C09" w:rsidRPr="00154DD5" w14:paraId="4BA9ED16" w14:textId="77777777">
        <w:trPr>
          <w:jc w:val="center"/>
        </w:trPr>
        <w:tc>
          <w:tcPr>
            <w:tcW w:w="3408" w:type="dxa"/>
            <w:shd w:val="clear" w:color="auto" w:fill="FFFFFF"/>
            <w:vAlign w:val="center"/>
          </w:tcPr>
          <w:p w14:paraId="4BB6B8C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FS01</w:t>
            </w:r>
          </w:p>
        </w:tc>
        <w:tc>
          <w:tcPr>
            <w:tcW w:w="3408" w:type="dxa"/>
            <w:shd w:val="clear" w:color="auto" w:fill="FFFFFF"/>
            <w:vAlign w:val="center"/>
          </w:tcPr>
          <w:p w14:paraId="3BDC42F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Nightly full backup plus four-hourly incrementals for active records where technically supported.</w:t>
            </w:r>
          </w:p>
        </w:tc>
        <w:tc>
          <w:tcPr>
            <w:tcW w:w="3408" w:type="dxa"/>
            <w:shd w:val="clear" w:color="auto" w:fill="FFFFFF"/>
            <w:vAlign w:val="center"/>
          </w:tcPr>
          <w:p w14:paraId="0C0234A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Daily 35 days, weekly 12 weeks, monthly 12 months; preserve permissions, metadata and access logs.</w:t>
            </w:r>
          </w:p>
        </w:tc>
      </w:tr>
      <w:tr w:rsidR="00C40C09" w:rsidRPr="00154DD5" w14:paraId="2CBC58F8" w14:textId="77777777">
        <w:trPr>
          <w:jc w:val="center"/>
        </w:trPr>
        <w:tc>
          <w:tcPr>
            <w:tcW w:w="3408" w:type="dxa"/>
            <w:shd w:val="clear" w:color="auto" w:fill="FFFFFF"/>
            <w:vAlign w:val="center"/>
          </w:tcPr>
          <w:p w14:paraId="50F954B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All backups</w:t>
            </w:r>
          </w:p>
        </w:tc>
        <w:tc>
          <w:tcPr>
            <w:tcW w:w="3408" w:type="dxa"/>
            <w:shd w:val="clear" w:color="auto" w:fill="FFFFFF"/>
            <w:vAlign w:val="center"/>
          </w:tcPr>
          <w:p w14:paraId="08339D4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Encrypt in transit and at rest; use separate backup identities, MFA, least privilege and separate management plane.</w:t>
            </w:r>
          </w:p>
        </w:tc>
        <w:tc>
          <w:tcPr>
            <w:tcW w:w="3408" w:type="dxa"/>
            <w:shd w:val="clear" w:color="auto" w:fill="FFFFFF"/>
            <w:vAlign w:val="center"/>
          </w:tcPr>
          <w:p w14:paraId="3F25EB3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3-2-1: three copies of important data, on two different media/types, with one copy offsite; make one copy offline or immutable.</w:t>
            </w:r>
          </w:p>
        </w:tc>
      </w:tr>
    </w:tbl>
    <w:p w14:paraId="50ADF557" w14:textId="77777777" w:rsidR="00C40C09" w:rsidRPr="00154DD5" w:rsidRDefault="00C40C09">
      <w:pPr>
        <w:rPr>
          <w:rFonts w:ascii="Times New Roman" w:hAnsi="Times New Roman" w:cs="Times New Roman"/>
        </w:rPr>
      </w:pPr>
    </w:p>
    <w:p w14:paraId="3CA9DCE1" w14:textId="77777777" w:rsidR="00C40C09" w:rsidRPr="00154DD5" w:rsidRDefault="00D07DBA">
      <w:pPr>
        <w:rPr>
          <w:rFonts w:ascii="Times New Roman" w:hAnsi="Times New Roman" w:cs="Times New Roman"/>
        </w:rPr>
      </w:pPr>
      <w:r w:rsidRPr="00154DD5">
        <w:rPr>
          <w:rFonts w:ascii="Times New Roman" w:hAnsi="Times New Roman" w:cs="Times New Roman"/>
        </w:rPr>
        <w:t>The DB01 restore chain is B01 full at 23:00 on Day −1 followed by every required incremental in order through B02 at 07:00 on Day 0. If any required item fails validation, do not skip it and claim a 07:00 recovery point. Select the latest complete, verified chain or fall back to an earlier known-good point, document the resulting RPO breach, and reconcile later changes where evidence exists.</w:t>
      </w:r>
    </w:p>
    <w:p w14:paraId="5B8B6825" w14:textId="77777777" w:rsidR="00C40C09" w:rsidRPr="00154DD5" w:rsidRDefault="00D07DBA">
      <w:pPr>
        <w:rPr>
          <w:rFonts w:ascii="Times New Roman" w:hAnsi="Times New Roman" w:cs="Times New Roman"/>
        </w:rPr>
      </w:pPr>
      <w:r w:rsidRPr="00154DD5">
        <w:rPr>
          <w:rFonts w:ascii="Times New Roman" w:hAnsi="Times New Roman" w:cs="Times New Roman"/>
        </w:rPr>
        <w:t>Offsite storage alone does not prove access independence: the brief says offsite-provider access-independence controls are undocumented, and production and backup administration share an administrator identity. NSI should document separate privileged accounts, MFA, approval for destructive actions, immutable retention and independent monitoring. Before use, verify catalogue metadata, signatures or hashes where available, backup logs, malware risk, completeness and sample restores in an isolated environment.</w:t>
      </w:r>
      <w:r w:rsidRPr="00154DD5">
        <w:rPr>
          <w:rFonts w:ascii="Times New Roman" w:hAnsi="Times New Roman" w:cs="Times New Roman"/>
        </w:rPr>
        <w:t xml:space="preserve"> A business owner should check record counts, totals, permissions and representative transactions after restoration. The baseline drill assumes the listed checkpoints pass integrity checks; this is not proof that the controls are already effective.</w:t>
      </w:r>
    </w:p>
    <w:p w14:paraId="0E274D6E" w14:textId="77777777" w:rsidR="00C40C09" w:rsidRPr="00154DD5" w:rsidRDefault="00D07DBA">
      <w:pPr>
        <w:rPr>
          <w:rFonts w:ascii="Times New Roman" w:hAnsi="Times New Roman" w:cs="Times New Roman"/>
        </w:rPr>
      </w:pPr>
      <w:r w:rsidRPr="00154DD5">
        <w:rPr>
          <w:rFonts w:ascii="Times New Roman" w:hAnsi="Times New Roman" w:cs="Times New Roman"/>
        </w:rPr>
        <w:t>The restore test should also prove that the recovered information is usable, not merely that a job shows as successful. For DB01, the technician should compare the backup catalogue with the expected incremental sequence, record each checkpoint, run database consistency checks, and ask each business owner to sample records relevant to their function. For AUTH01, checks should include successful sign-in for authorised test accounts and confirmation that privileged access remains restricted. For FS01, the reco</w:t>
      </w:r>
      <w:r w:rsidRPr="00154DD5">
        <w:rPr>
          <w:rFonts w:ascii="Times New Roman" w:hAnsi="Times New Roman" w:cs="Times New Roman"/>
        </w:rPr>
        <w:t>rds owner should sample files, permissions and metadata. A failed check means the copy is not accepted for production until the issue is understood. Temporary records may help reconstruct transactions or requests, but they cannot be assumed to recreate every database change or prove the contents of a missing certificate file.</w:t>
      </w:r>
    </w:p>
    <w:p w14:paraId="14D21D5A" w14:textId="77777777" w:rsidR="00C40C09" w:rsidRPr="00154DD5" w:rsidRDefault="00D07DBA">
      <w:pPr>
        <w:pStyle w:val="Heading1"/>
        <w:rPr>
          <w:rFonts w:ascii="Times New Roman" w:hAnsi="Times New Roman" w:cs="Times New Roman"/>
        </w:rPr>
      </w:pPr>
      <w:r w:rsidRPr="00154DD5">
        <w:rPr>
          <w:rFonts w:ascii="Times New Roman" w:hAnsi="Times New Roman" w:cs="Times New Roman"/>
        </w:rPr>
        <w:lastRenderedPageBreak/>
        <w:t>Task 3: Recovery Strategy and Budget</w:t>
      </w:r>
    </w:p>
    <w:p w14:paraId="5BBCB580"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3.1 Option comparison</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57"/>
        <w:gridCol w:w="1458"/>
        <w:gridCol w:w="1458"/>
        <w:gridCol w:w="1459"/>
        <w:gridCol w:w="1458"/>
        <w:gridCol w:w="1458"/>
        <w:gridCol w:w="1460"/>
      </w:tblGrid>
      <w:tr w:rsidR="00C40C09" w:rsidRPr="00154DD5" w14:paraId="667C5D00" w14:textId="77777777">
        <w:trPr>
          <w:jc w:val="center"/>
        </w:trPr>
        <w:tc>
          <w:tcPr>
            <w:tcW w:w="1461" w:type="dxa"/>
            <w:shd w:val="clear" w:color="auto" w:fill="FFFFFF"/>
            <w:vAlign w:val="center"/>
          </w:tcPr>
          <w:p w14:paraId="718BC4F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Package</w:t>
            </w:r>
          </w:p>
        </w:tc>
        <w:tc>
          <w:tcPr>
            <w:tcW w:w="1461" w:type="dxa"/>
            <w:shd w:val="clear" w:color="auto" w:fill="FFFFFF"/>
            <w:vAlign w:val="center"/>
          </w:tcPr>
          <w:p w14:paraId="1A1127C8"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Base cost</w:t>
            </w:r>
          </w:p>
        </w:tc>
        <w:tc>
          <w:tcPr>
            <w:tcW w:w="1461" w:type="dxa"/>
            <w:shd w:val="clear" w:color="auto" w:fill="FFFFFF"/>
            <w:vAlign w:val="center"/>
          </w:tcPr>
          <w:p w14:paraId="1F2FDF8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Protected backup add-on</w:t>
            </w:r>
          </w:p>
        </w:tc>
        <w:tc>
          <w:tcPr>
            <w:tcW w:w="1461" w:type="dxa"/>
            <w:shd w:val="clear" w:color="auto" w:fill="FFFFFF"/>
            <w:vAlign w:val="center"/>
          </w:tcPr>
          <w:p w14:paraId="0A9EF68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Training/test add-on</w:t>
            </w:r>
          </w:p>
        </w:tc>
        <w:tc>
          <w:tcPr>
            <w:tcW w:w="1461" w:type="dxa"/>
            <w:shd w:val="clear" w:color="auto" w:fill="FFFFFF"/>
            <w:vAlign w:val="center"/>
          </w:tcPr>
          <w:p w14:paraId="0F64E45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Annual total</w:t>
            </w:r>
          </w:p>
        </w:tc>
        <w:tc>
          <w:tcPr>
            <w:tcW w:w="1461" w:type="dxa"/>
            <w:shd w:val="clear" w:color="auto" w:fill="FFFFFF"/>
            <w:vAlign w:val="center"/>
          </w:tcPr>
          <w:p w14:paraId="2C9815F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Estimated first critical service / data-loss window</w:t>
            </w:r>
          </w:p>
        </w:tc>
        <w:tc>
          <w:tcPr>
            <w:tcW w:w="1461" w:type="dxa"/>
            <w:shd w:val="clear" w:color="auto" w:fill="FFFFFF"/>
            <w:vAlign w:val="center"/>
          </w:tcPr>
          <w:p w14:paraId="618FD8C8"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Fit and limitations</w:t>
            </w:r>
          </w:p>
        </w:tc>
      </w:tr>
      <w:tr w:rsidR="00C40C09" w:rsidRPr="00154DD5" w14:paraId="10721EC5" w14:textId="77777777">
        <w:trPr>
          <w:jc w:val="center"/>
        </w:trPr>
        <w:tc>
          <w:tcPr>
            <w:tcW w:w="1461" w:type="dxa"/>
            <w:shd w:val="clear" w:color="auto" w:fill="FFFFFF"/>
            <w:vAlign w:val="center"/>
          </w:tcPr>
          <w:p w14:paraId="4C08BBD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Cold</w:t>
            </w:r>
          </w:p>
        </w:tc>
        <w:tc>
          <w:tcPr>
            <w:tcW w:w="1461" w:type="dxa"/>
            <w:shd w:val="clear" w:color="auto" w:fill="FFFFFF"/>
            <w:vAlign w:val="center"/>
          </w:tcPr>
          <w:p w14:paraId="061BF89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600,000</w:t>
            </w:r>
          </w:p>
        </w:tc>
        <w:tc>
          <w:tcPr>
            <w:tcW w:w="1461" w:type="dxa"/>
            <w:shd w:val="clear" w:color="auto" w:fill="FFFFFF"/>
            <w:vAlign w:val="center"/>
          </w:tcPr>
          <w:p w14:paraId="7A1C4A2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400,000</w:t>
            </w:r>
          </w:p>
        </w:tc>
        <w:tc>
          <w:tcPr>
            <w:tcW w:w="1461" w:type="dxa"/>
            <w:shd w:val="clear" w:color="auto" w:fill="FFFFFF"/>
            <w:vAlign w:val="center"/>
          </w:tcPr>
          <w:p w14:paraId="2A56058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200,000</w:t>
            </w:r>
          </w:p>
        </w:tc>
        <w:tc>
          <w:tcPr>
            <w:tcW w:w="1461" w:type="dxa"/>
            <w:shd w:val="clear" w:color="auto" w:fill="FFFFFF"/>
            <w:vAlign w:val="center"/>
          </w:tcPr>
          <w:p w14:paraId="411EBE9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1,200,000</w:t>
            </w:r>
          </w:p>
        </w:tc>
        <w:tc>
          <w:tcPr>
            <w:tcW w:w="1461" w:type="dxa"/>
            <w:shd w:val="clear" w:color="auto" w:fill="FFFFFF"/>
            <w:vAlign w:val="center"/>
          </w:tcPr>
          <w:p w14:paraId="5383A48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24–48 hours / up to 24 hours</w:t>
            </w:r>
          </w:p>
        </w:tc>
        <w:tc>
          <w:tcPr>
            <w:tcW w:w="1461" w:type="dxa"/>
            <w:shd w:val="clear" w:color="auto" w:fill="FFFFFF"/>
            <w:vAlign w:val="center"/>
          </w:tcPr>
          <w:p w14:paraId="7C4C269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Fits budget, but misses urgent F1–F3 needs and proposed RTO/RPO targets.</w:t>
            </w:r>
          </w:p>
        </w:tc>
      </w:tr>
      <w:tr w:rsidR="00C40C09" w:rsidRPr="00154DD5" w14:paraId="134240C5" w14:textId="77777777">
        <w:trPr>
          <w:jc w:val="center"/>
        </w:trPr>
        <w:tc>
          <w:tcPr>
            <w:tcW w:w="1461" w:type="dxa"/>
            <w:shd w:val="clear" w:color="auto" w:fill="FFFFFF"/>
            <w:vAlign w:val="center"/>
          </w:tcPr>
          <w:p w14:paraId="051314D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Warm</w:t>
            </w:r>
          </w:p>
        </w:tc>
        <w:tc>
          <w:tcPr>
            <w:tcW w:w="1461" w:type="dxa"/>
            <w:shd w:val="clear" w:color="auto" w:fill="FFFFFF"/>
            <w:vAlign w:val="center"/>
          </w:tcPr>
          <w:p w14:paraId="4813CC4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1,500,000</w:t>
            </w:r>
          </w:p>
        </w:tc>
        <w:tc>
          <w:tcPr>
            <w:tcW w:w="1461" w:type="dxa"/>
            <w:shd w:val="clear" w:color="auto" w:fill="FFFFFF"/>
            <w:vAlign w:val="center"/>
          </w:tcPr>
          <w:p w14:paraId="3A8FCA6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400,000</w:t>
            </w:r>
          </w:p>
        </w:tc>
        <w:tc>
          <w:tcPr>
            <w:tcW w:w="1461" w:type="dxa"/>
            <w:shd w:val="clear" w:color="auto" w:fill="FFFFFF"/>
            <w:vAlign w:val="center"/>
          </w:tcPr>
          <w:p w14:paraId="3953D33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200,000</w:t>
            </w:r>
          </w:p>
        </w:tc>
        <w:tc>
          <w:tcPr>
            <w:tcW w:w="1461" w:type="dxa"/>
            <w:shd w:val="clear" w:color="auto" w:fill="FFFFFF"/>
            <w:vAlign w:val="center"/>
          </w:tcPr>
          <w:p w14:paraId="5FDBA97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2,100,000</w:t>
            </w:r>
          </w:p>
        </w:tc>
        <w:tc>
          <w:tcPr>
            <w:tcW w:w="1461" w:type="dxa"/>
            <w:shd w:val="clear" w:color="auto" w:fill="FFFFFF"/>
            <w:vAlign w:val="center"/>
          </w:tcPr>
          <w:p w14:paraId="09023AE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3–5 hours / 1–6 hours</w:t>
            </w:r>
          </w:p>
        </w:tc>
        <w:tc>
          <w:tcPr>
            <w:tcW w:w="1461" w:type="dxa"/>
            <w:shd w:val="clear" w:color="auto" w:fill="FFFFFF"/>
            <w:vAlign w:val="center"/>
          </w:tcPr>
          <w:p w14:paraId="359AEB5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Fits budget and is a practical balance, but baseline assessment restoration is 3h45 and current AUTH01/FS01 points miss proposed RPOs.</w:t>
            </w:r>
          </w:p>
        </w:tc>
      </w:tr>
      <w:tr w:rsidR="00C40C09" w:rsidRPr="00154DD5" w14:paraId="7BE34132" w14:textId="77777777">
        <w:trPr>
          <w:jc w:val="center"/>
        </w:trPr>
        <w:tc>
          <w:tcPr>
            <w:tcW w:w="1461" w:type="dxa"/>
            <w:shd w:val="clear" w:color="auto" w:fill="FFFFFF"/>
            <w:vAlign w:val="center"/>
          </w:tcPr>
          <w:p w14:paraId="6FBB7DD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Hot</w:t>
            </w:r>
          </w:p>
        </w:tc>
        <w:tc>
          <w:tcPr>
            <w:tcW w:w="1461" w:type="dxa"/>
            <w:shd w:val="clear" w:color="auto" w:fill="FFFFFF"/>
            <w:vAlign w:val="center"/>
          </w:tcPr>
          <w:p w14:paraId="06D7646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2,400,000</w:t>
            </w:r>
          </w:p>
        </w:tc>
        <w:tc>
          <w:tcPr>
            <w:tcW w:w="1461" w:type="dxa"/>
            <w:shd w:val="clear" w:color="auto" w:fill="FFFFFF"/>
            <w:vAlign w:val="center"/>
          </w:tcPr>
          <w:p w14:paraId="10332EA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400,000</w:t>
            </w:r>
          </w:p>
        </w:tc>
        <w:tc>
          <w:tcPr>
            <w:tcW w:w="1461" w:type="dxa"/>
            <w:shd w:val="clear" w:color="auto" w:fill="FFFFFF"/>
            <w:vAlign w:val="center"/>
          </w:tcPr>
          <w:p w14:paraId="1691FD8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200,000</w:t>
            </w:r>
          </w:p>
        </w:tc>
        <w:tc>
          <w:tcPr>
            <w:tcW w:w="1461" w:type="dxa"/>
            <w:shd w:val="clear" w:color="auto" w:fill="FFFFFF"/>
            <w:vAlign w:val="center"/>
          </w:tcPr>
          <w:p w14:paraId="79B8391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t>
            </w:r>
            <w:r w:rsidRPr="00154DD5">
              <w:rPr>
                <w:rFonts w:ascii="Times New Roman" w:hAnsi="Times New Roman" w:cs="Times New Roman"/>
                <w:sz w:val="17"/>
              </w:rPr>
              <w:t>3,000,000</w:t>
            </w:r>
          </w:p>
        </w:tc>
        <w:tc>
          <w:tcPr>
            <w:tcW w:w="1461" w:type="dxa"/>
            <w:shd w:val="clear" w:color="auto" w:fill="FFFFFF"/>
            <w:vAlign w:val="center"/>
          </w:tcPr>
          <w:p w14:paraId="2B72729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About 1 hour / up to 15 minutes</w:t>
            </w:r>
          </w:p>
        </w:tc>
        <w:tc>
          <w:tcPr>
            <w:tcW w:w="1461" w:type="dxa"/>
            <w:shd w:val="clear" w:color="auto" w:fill="FFFFFF"/>
            <w:vAlign w:val="center"/>
          </w:tcPr>
          <w:p w14:paraId="60A382F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At the budget ceiling and best stated recovery window, but requires evidence of actual capacity, geographic separation and replication safety.</w:t>
            </w:r>
          </w:p>
        </w:tc>
      </w:tr>
    </w:tbl>
    <w:p w14:paraId="58491FB6" w14:textId="77777777" w:rsidR="00C40C09" w:rsidRPr="00154DD5" w:rsidRDefault="00C40C09">
      <w:pPr>
        <w:rPr>
          <w:rFonts w:ascii="Times New Roman" w:hAnsi="Times New Roman" w:cs="Times New Roman"/>
        </w:rPr>
      </w:pPr>
    </w:p>
    <w:p w14:paraId="08526F66"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3.2 Recommendation</w:t>
      </w:r>
    </w:p>
    <w:p w14:paraId="5D884D35" w14:textId="77777777" w:rsidR="00C40C09" w:rsidRPr="00154DD5" w:rsidRDefault="00D07DBA">
      <w:pPr>
        <w:rPr>
          <w:rFonts w:ascii="Times New Roman" w:hAnsi="Times New Roman" w:cs="Times New Roman"/>
        </w:rPr>
      </w:pPr>
      <w:r w:rsidRPr="00154DD5">
        <w:rPr>
          <w:rFonts w:ascii="Times New Roman" w:hAnsi="Times New Roman" w:cs="Times New Roman"/>
        </w:rPr>
        <w:t>Recommend the Warm package with both required additions, for an annual total of ₦2,100,000. It leaves ₦900,000 below the ₦3,000,000 limit while materially reducing the expected delay compared with Cold. The remaining funds should not be treated as automatic approval for new spending; management should use supplier evidence and risk assessment to decide whether to fund additional improvements. Warm does not by itself meet every proposed objective: the stated data-loss window of one to six hours may exceed th</w:t>
      </w:r>
      <w:r w:rsidRPr="00154DD5">
        <w:rPr>
          <w:rFonts w:ascii="Times New Roman" w:hAnsi="Times New Roman" w:cs="Times New Roman"/>
        </w:rPr>
        <w:t>e one-hour RPO for F1–F4, and the current AUTH01 and FS01 checkpoints are eight and nine hours old. A tested manual examination process is needed because the modelled LMS finish is 11:45, after the 11:00 start.</w:t>
      </w:r>
    </w:p>
    <w:p w14:paraId="5106CA16" w14:textId="77777777" w:rsidR="00C40C09" w:rsidRPr="00154DD5" w:rsidRDefault="00D07DBA">
      <w:pPr>
        <w:rPr>
          <w:rFonts w:ascii="Times New Roman" w:hAnsi="Times New Roman" w:cs="Times New Roman"/>
        </w:rPr>
      </w:pPr>
      <w:r w:rsidRPr="00154DD5">
        <w:rPr>
          <w:rFonts w:ascii="Times New Roman" w:hAnsi="Times New Roman" w:cs="Times New Roman"/>
        </w:rPr>
        <w:t>Residual risks include supplier timing estimates that have not been validated, dependence on the offsite provider, corruption or malicious changes being replicated, limited recovery staffing, and a potential mismatch between stated package RPO and actual backup checkpoints. The executive sponsor should accept residual business risk only after the technical lead, finance, business owners and continuity coordinator document the gap and compensating controls. The package timing should be validated contractuall</w:t>
      </w:r>
      <w:r w:rsidRPr="00154DD5">
        <w:rPr>
          <w:rFonts w:ascii="Times New Roman" w:hAnsi="Times New Roman" w:cs="Times New Roman"/>
        </w:rPr>
        <w:t>y through an observed recovery test, not accepted from a brochure alone.</w:t>
      </w:r>
    </w:p>
    <w:p w14:paraId="0C83940C" w14:textId="77777777" w:rsidR="00C40C09" w:rsidRPr="00154DD5" w:rsidRDefault="00D07DBA">
      <w:pPr>
        <w:rPr>
          <w:rFonts w:ascii="Times New Roman" w:hAnsi="Times New Roman" w:cs="Times New Roman"/>
        </w:rPr>
      </w:pPr>
      <w:r w:rsidRPr="00154DD5">
        <w:rPr>
          <w:rFonts w:ascii="Times New Roman" w:hAnsi="Times New Roman" w:cs="Times New Roman"/>
        </w:rPr>
        <w:t>The package decision should be conditional rather than treated as a guarantee. Before purchase, the provider should demonstrate the recovery location, connectivity capacity, access arrangements, restore responsibilities, and the meaning of its stated recovery window. The contract should identify who can declare a recovery point unusable, who authorises extra charges, how incidents are escalated, and what evidence is supplied after a test. NSI should also confirm that the alternate site is outside the same f</w:t>
      </w:r>
      <w:r w:rsidRPr="00154DD5">
        <w:rPr>
          <w:rFonts w:ascii="Times New Roman" w:hAnsi="Times New Roman" w:cs="Times New Roman"/>
        </w:rPr>
        <w:t>lood exposure and has dependable power and mobile or fixed connectivity. If these checks cannot be completed, leadership should record the remaining risk and decide whether interim manual procedures are adequate.</w:t>
      </w:r>
    </w:p>
    <w:p w14:paraId="2ED352F9"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lastRenderedPageBreak/>
        <w:t>3.3 Cost comparison and investment evidence</w:t>
      </w:r>
    </w:p>
    <w:p w14:paraId="7C22E049" w14:textId="77777777" w:rsidR="00C40C09" w:rsidRPr="00154DD5" w:rsidRDefault="00D07DBA">
      <w:pPr>
        <w:rPr>
          <w:rFonts w:ascii="Times New Roman" w:hAnsi="Times New Roman" w:cs="Times New Roman"/>
        </w:rPr>
      </w:pPr>
      <w:r w:rsidRPr="00154DD5">
        <w:rPr>
          <w:rFonts w:ascii="Times New Roman" w:hAnsi="Times New Roman" w:cs="Times New Roman"/>
        </w:rPr>
        <w:t>The 8-hour no-recovery estimate is ₦1,200,000 and the 24-hour estimate is ₦3,360,000. The Warm package costs ₦2,100,000 annually, so the 24-hour exercise estimate is greater than its annual cost, while the 8-hour estimate is lower. This comparison helps communicate scale but does not establish annual return on investment. The incident is fictional, the hourly amounts are simplified, the probability and frequency of future disruptions are unknown, and recovery itself does not remove all losses. Before approv</w:t>
      </w:r>
      <w:r w:rsidRPr="00154DD5">
        <w:rPr>
          <w:rFonts w:ascii="Times New Roman" w:hAnsi="Times New Roman" w:cs="Times New Roman"/>
        </w:rPr>
        <w:t>al, obtain supplier service levels and exclusions, geographically separated site evidence, recovery-test results, backup isolation design, security and access-control documentation, staffing coverage, data-residency terms, restoration dependencies and itemised recurring/one-off charges.</w:t>
      </w:r>
    </w:p>
    <w:p w14:paraId="61035BCF" w14:textId="77777777" w:rsidR="00C40C09" w:rsidRPr="00154DD5" w:rsidRDefault="00D07DBA">
      <w:pPr>
        <w:pStyle w:val="Heading1"/>
        <w:rPr>
          <w:rFonts w:ascii="Times New Roman" w:hAnsi="Times New Roman" w:cs="Times New Roman"/>
        </w:rPr>
      </w:pPr>
      <w:r w:rsidRPr="00154DD5">
        <w:rPr>
          <w:rFonts w:ascii="Times New Roman" w:hAnsi="Times New Roman" w:cs="Times New Roman"/>
        </w:rPr>
        <w:t>Task 4: Coordinated Business Continuity and Disaster Recovery Plan</w:t>
      </w:r>
    </w:p>
    <w:p w14:paraId="58E607D0"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4.1 Scope, activation and authority</w:t>
      </w:r>
    </w:p>
    <w:p w14:paraId="0BC69AD2" w14:textId="77777777" w:rsidR="00C40C09" w:rsidRPr="00154DD5" w:rsidRDefault="00D07DBA">
      <w:pPr>
        <w:rPr>
          <w:rFonts w:ascii="Times New Roman" w:hAnsi="Times New Roman" w:cs="Times New Roman"/>
        </w:rPr>
      </w:pPr>
      <w:r w:rsidRPr="00154DD5">
        <w:rPr>
          <w:rFonts w:ascii="Times New Roman" w:hAnsi="Times New Roman" w:cs="Times New Roman"/>
        </w:rPr>
        <w:t>This plan covers loss of the main premises and local systems for up to 72 hours, with escalation if the closure extends or if recovery assumptions fail. The Continuity Coordinator is the plan owner. The authorised decision maker for activation is the Director/Principal, with the Operations Manager as deputy. The coordinator may initiate immediate protective and continuity actions while seeking confirmation if the authorised decision maker cannot be reached. Activate when a critical site or system is unavail</w:t>
      </w:r>
      <w:r w:rsidRPr="00154DD5">
        <w:rPr>
          <w:rFonts w:ascii="Times New Roman" w:hAnsi="Times New Roman" w:cs="Times New Roman"/>
        </w:rPr>
        <w:t>able beyond 30 minutes, a deadline is threatened, or facilities estimates closure beyond the same working day. Escalate to the executive sponsor when a critical deadline is likely to be missed, the site closure exceeds 72 hours, or recovery cost/risk exceeds delegated authority.</w:t>
      </w:r>
    </w:p>
    <w:p w14:paraId="5D2E1F1D" w14:textId="77777777" w:rsidR="00C40C09" w:rsidRPr="00154DD5" w:rsidRDefault="00D07DBA">
      <w:pPr>
        <w:rPr>
          <w:rFonts w:ascii="Times New Roman" w:hAnsi="Times New Roman" w:cs="Times New Roman"/>
        </w:rPr>
      </w:pPr>
      <w:r w:rsidRPr="00154DD5">
        <w:rPr>
          <w:rFonts w:ascii="Times New Roman" w:hAnsi="Times New Roman" w:cs="Times New Roman"/>
        </w:rPr>
        <w:t xml:space="preserve">The continuity team maintains service priorities and workarounds; the DR team restores technology; facilities confirms building safety and power/network readiness; the incident response team is engaged if evidence suggests malicious activity, unauthorised access, suspicious backup logons, data tampering or unexplained loss. Microsoft 365 email and identity can support communications via mobile internet, but they should not be assumed to replace AUTH01 for local applications. Maintain a separate out-of-band </w:t>
      </w:r>
      <w:r w:rsidRPr="00154DD5">
        <w:rPr>
          <w:rFonts w:ascii="Times New Roman" w:hAnsi="Times New Roman" w:cs="Times New Roman"/>
        </w:rPr>
        <w:t>contact list and record decisions, status, risks, actions, owner and next update in each situation report.</w:t>
      </w:r>
    </w:p>
    <w:p w14:paraId="4D6C778C"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4.2 RACI matrix</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21"/>
        <w:gridCol w:w="1446"/>
        <w:gridCol w:w="1452"/>
        <w:gridCol w:w="1451"/>
        <w:gridCol w:w="1445"/>
        <w:gridCol w:w="1447"/>
        <w:gridCol w:w="1446"/>
      </w:tblGrid>
      <w:tr w:rsidR="00C40C09" w:rsidRPr="00154DD5" w14:paraId="532F9DEF" w14:textId="77777777">
        <w:trPr>
          <w:jc w:val="center"/>
        </w:trPr>
        <w:tc>
          <w:tcPr>
            <w:tcW w:w="1461" w:type="dxa"/>
            <w:shd w:val="clear" w:color="auto" w:fill="FFFFFF"/>
            <w:vAlign w:val="center"/>
          </w:tcPr>
          <w:p w14:paraId="553311C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Activity</w:t>
            </w:r>
          </w:p>
        </w:tc>
        <w:tc>
          <w:tcPr>
            <w:tcW w:w="1461" w:type="dxa"/>
            <w:shd w:val="clear" w:color="auto" w:fill="FFFFFF"/>
            <w:vAlign w:val="center"/>
          </w:tcPr>
          <w:p w14:paraId="233E941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Director / Principal</w:t>
            </w:r>
          </w:p>
        </w:tc>
        <w:tc>
          <w:tcPr>
            <w:tcW w:w="1461" w:type="dxa"/>
            <w:shd w:val="clear" w:color="auto" w:fill="FFFFFF"/>
            <w:vAlign w:val="center"/>
          </w:tcPr>
          <w:p w14:paraId="32C39C5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Continuity Coordinator</w:t>
            </w:r>
          </w:p>
        </w:tc>
        <w:tc>
          <w:tcPr>
            <w:tcW w:w="1461" w:type="dxa"/>
            <w:shd w:val="clear" w:color="auto" w:fill="FFFFFF"/>
            <w:vAlign w:val="center"/>
          </w:tcPr>
          <w:p w14:paraId="155227C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DR Lead / Technicians</w:t>
            </w:r>
          </w:p>
        </w:tc>
        <w:tc>
          <w:tcPr>
            <w:tcW w:w="1461" w:type="dxa"/>
            <w:shd w:val="clear" w:color="auto" w:fill="FFFFFF"/>
            <w:vAlign w:val="center"/>
          </w:tcPr>
          <w:p w14:paraId="0BCCB32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Facilities Lead</w:t>
            </w:r>
          </w:p>
        </w:tc>
        <w:tc>
          <w:tcPr>
            <w:tcW w:w="1461" w:type="dxa"/>
            <w:shd w:val="clear" w:color="auto" w:fill="FFFFFF"/>
            <w:vAlign w:val="center"/>
          </w:tcPr>
          <w:p w14:paraId="4702431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Academic / Business Owners</w:t>
            </w:r>
          </w:p>
        </w:tc>
        <w:tc>
          <w:tcPr>
            <w:tcW w:w="1461" w:type="dxa"/>
            <w:shd w:val="clear" w:color="auto" w:fill="FFFFFF"/>
            <w:vAlign w:val="center"/>
          </w:tcPr>
          <w:p w14:paraId="3CD5050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Incident Response / Privacy</w:t>
            </w:r>
          </w:p>
        </w:tc>
      </w:tr>
      <w:tr w:rsidR="00C40C09" w:rsidRPr="00154DD5" w14:paraId="1CCED90E" w14:textId="77777777">
        <w:trPr>
          <w:jc w:val="center"/>
        </w:trPr>
        <w:tc>
          <w:tcPr>
            <w:tcW w:w="1461" w:type="dxa"/>
            <w:shd w:val="clear" w:color="auto" w:fill="FFFFFF"/>
            <w:vAlign w:val="center"/>
          </w:tcPr>
          <w:p w14:paraId="64CACE5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Activate plan</w:t>
            </w:r>
          </w:p>
        </w:tc>
        <w:tc>
          <w:tcPr>
            <w:tcW w:w="1461" w:type="dxa"/>
            <w:shd w:val="clear" w:color="auto" w:fill="FFFFFF"/>
            <w:vAlign w:val="center"/>
          </w:tcPr>
          <w:p w14:paraId="535AA46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w:t>
            </w:r>
          </w:p>
        </w:tc>
        <w:tc>
          <w:tcPr>
            <w:tcW w:w="1461" w:type="dxa"/>
            <w:shd w:val="clear" w:color="auto" w:fill="FFFFFF"/>
            <w:vAlign w:val="center"/>
          </w:tcPr>
          <w:p w14:paraId="5761606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w:t>
            </w:r>
          </w:p>
        </w:tc>
        <w:tc>
          <w:tcPr>
            <w:tcW w:w="1461" w:type="dxa"/>
            <w:shd w:val="clear" w:color="auto" w:fill="FFFFFF"/>
            <w:vAlign w:val="center"/>
          </w:tcPr>
          <w:p w14:paraId="4DBD161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c>
          <w:tcPr>
            <w:tcW w:w="1461" w:type="dxa"/>
            <w:shd w:val="clear" w:color="auto" w:fill="FFFFFF"/>
            <w:vAlign w:val="center"/>
          </w:tcPr>
          <w:p w14:paraId="6A05E1D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c>
          <w:tcPr>
            <w:tcW w:w="1461" w:type="dxa"/>
            <w:shd w:val="clear" w:color="auto" w:fill="FFFFFF"/>
            <w:vAlign w:val="center"/>
          </w:tcPr>
          <w:p w14:paraId="7EB62C1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w:t>
            </w:r>
          </w:p>
        </w:tc>
        <w:tc>
          <w:tcPr>
            <w:tcW w:w="1461" w:type="dxa"/>
            <w:shd w:val="clear" w:color="auto" w:fill="FFFFFF"/>
            <w:vAlign w:val="center"/>
          </w:tcPr>
          <w:p w14:paraId="2DC5EAD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w:t>
            </w:r>
          </w:p>
        </w:tc>
      </w:tr>
      <w:tr w:rsidR="00C40C09" w:rsidRPr="00154DD5" w14:paraId="3502F287" w14:textId="77777777">
        <w:trPr>
          <w:jc w:val="center"/>
        </w:trPr>
        <w:tc>
          <w:tcPr>
            <w:tcW w:w="1461" w:type="dxa"/>
            <w:shd w:val="clear" w:color="auto" w:fill="FFFFFF"/>
            <w:vAlign w:val="center"/>
          </w:tcPr>
          <w:p w14:paraId="4669A23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Arrange temporary examination</w:t>
            </w:r>
          </w:p>
        </w:tc>
        <w:tc>
          <w:tcPr>
            <w:tcW w:w="1461" w:type="dxa"/>
            <w:shd w:val="clear" w:color="auto" w:fill="FFFFFF"/>
            <w:vAlign w:val="center"/>
          </w:tcPr>
          <w:p w14:paraId="5D81C1D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w:t>
            </w:r>
          </w:p>
        </w:tc>
        <w:tc>
          <w:tcPr>
            <w:tcW w:w="1461" w:type="dxa"/>
            <w:shd w:val="clear" w:color="auto" w:fill="FFFFFF"/>
            <w:vAlign w:val="center"/>
          </w:tcPr>
          <w:p w14:paraId="55F56FF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w:t>
            </w:r>
          </w:p>
        </w:tc>
        <w:tc>
          <w:tcPr>
            <w:tcW w:w="1461" w:type="dxa"/>
            <w:shd w:val="clear" w:color="auto" w:fill="FFFFFF"/>
            <w:vAlign w:val="center"/>
          </w:tcPr>
          <w:p w14:paraId="43D4B53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c>
          <w:tcPr>
            <w:tcW w:w="1461" w:type="dxa"/>
            <w:shd w:val="clear" w:color="auto" w:fill="FFFFFF"/>
            <w:vAlign w:val="center"/>
          </w:tcPr>
          <w:p w14:paraId="5239B79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c>
          <w:tcPr>
            <w:tcW w:w="1461" w:type="dxa"/>
            <w:shd w:val="clear" w:color="auto" w:fill="FFFFFF"/>
            <w:vAlign w:val="center"/>
          </w:tcPr>
          <w:p w14:paraId="0B44A17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w:t>
            </w:r>
          </w:p>
        </w:tc>
        <w:tc>
          <w:tcPr>
            <w:tcW w:w="1461" w:type="dxa"/>
            <w:shd w:val="clear" w:color="auto" w:fill="FFFFFF"/>
            <w:vAlign w:val="center"/>
          </w:tcPr>
          <w:p w14:paraId="62F390B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r>
      <w:tr w:rsidR="00C40C09" w:rsidRPr="00154DD5" w14:paraId="73613BF0" w14:textId="77777777">
        <w:trPr>
          <w:jc w:val="center"/>
        </w:trPr>
        <w:tc>
          <w:tcPr>
            <w:tcW w:w="1461" w:type="dxa"/>
            <w:shd w:val="clear" w:color="auto" w:fill="FFFFFF"/>
            <w:vAlign w:val="center"/>
          </w:tcPr>
          <w:p w14:paraId="4D1EF42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Validate backup chain</w:t>
            </w:r>
          </w:p>
        </w:tc>
        <w:tc>
          <w:tcPr>
            <w:tcW w:w="1461" w:type="dxa"/>
            <w:shd w:val="clear" w:color="auto" w:fill="FFFFFF"/>
            <w:vAlign w:val="center"/>
          </w:tcPr>
          <w:p w14:paraId="3789E84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w:t>
            </w:r>
          </w:p>
        </w:tc>
        <w:tc>
          <w:tcPr>
            <w:tcW w:w="1461" w:type="dxa"/>
            <w:shd w:val="clear" w:color="auto" w:fill="FFFFFF"/>
            <w:vAlign w:val="center"/>
          </w:tcPr>
          <w:p w14:paraId="40A05FF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c>
          <w:tcPr>
            <w:tcW w:w="1461" w:type="dxa"/>
            <w:shd w:val="clear" w:color="auto" w:fill="FFFFFF"/>
            <w:vAlign w:val="center"/>
          </w:tcPr>
          <w:p w14:paraId="638DF90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A/R</w:t>
            </w:r>
          </w:p>
        </w:tc>
        <w:tc>
          <w:tcPr>
            <w:tcW w:w="1461" w:type="dxa"/>
            <w:shd w:val="clear" w:color="auto" w:fill="FFFFFF"/>
            <w:vAlign w:val="center"/>
          </w:tcPr>
          <w:p w14:paraId="5897057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w:t>
            </w:r>
          </w:p>
        </w:tc>
        <w:tc>
          <w:tcPr>
            <w:tcW w:w="1461" w:type="dxa"/>
            <w:shd w:val="clear" w:color="auto" w:fill="FFFFFF"/>
            <w:vAlign w:val="center"/>
          </w:tcPr>
          <w:p w14:paraId="34B8849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w:t>
            </w:r>
          </w:p>
        </w:tc>
        <w:tc>
          <w:tcPr>
            <w:tcW w:w="1461" w:type="dxa"/>
            <w:shd w:val="clear" w:color="auto" w:fill="FFFFFF"/>
            <w:vAlign w:val="center"/>
          </w:tcPr>
          <w:p w14:paraId="25C4363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r>
      <w:tr w:rsidR="00C40C09" w:rsidRPr="00154DD5" w14:paraId="5D3D5A96" w14:textId="77777777">
        <w:trPr>
          <w:jc w:val="center"/>
        </w:trPr>
        <w:tc>
          <w:tcPr>
            <w:tcW w:w="1461" w:type="dxa"/>
            <w:shd w:val="clear" w:color="auto" w:fill="FFFFFF"/>
            <w:vAlign w:val="center"/>
          </w:tcPr>
          <w:p w14:paraId="7445637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Restore local systems</w:t>
            </w:r>
          </w:p>
        </w:tc>
        <w:tc>
          <w:tcPr>
            <w:tcW w:w="1461" w:type="dxa"/>
            <w:shd w:val="clear" w:color="auto" w:fill="FFFFFF"/>
            <w:vAlign w:val="center"/>
          </w:tcPr>
          <w:p w14:paraId="2505C10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w:t>
            </w:r>
          </w:p>
        </w:tc>
        <w:tc>
          <w:tcPr>
            <w:tcW w:w="1461" w:type="dxa"/>
            <w:shd w:val="clear" w:color="auto" w:fill="FFFFFF"/>
            <w:vAlign w:val="center"/>
          </w:tcPr>
          <w:p w14:paraId="68CBA3B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c>
          <w:tcPr>
            <w:tcW w:w="1461" w:type="dxa"/>
            <w:shd w:val="clear" w:color="auto" w:fill="FFFFFF"/>
            <w:vAlign w:val="center"/>
          </w:tcPr>
          <w:p w14:paraId="6755038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A/R</w:t>
            </w:r>
          </w:p>
        </w:tc>
        <w:tc>
          <w:tcPr>
            <w:tcW w:w="1461" w:type="dxa"/>
            <w:shd w:val="clear" w:color="auto" w:fill="FFFFFF"/>
            <w:vAlign w:val="center"/>
          </w:tcPr>
          <w:p w14:paraId="4374BCD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c>
          <w:tcPr>
            <w:tcW w:w="1461" w:type="dxa"/>
            <w:shd w:val="clear" w:color="auto" w:fill="FFFFFF"/>
            <w:vAlign w:val="center"/>
          </w:tcPr>
          <w:p w14:paraId="707D4E6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w:t>
            </w:r>
          </w:p>
        </w:tc>
        <w:tc>
          <w:tcPr>
            <w:tcW w:w="1461" w:type="dxa"/>
            <w:shd w:val="clear" w:color="auto" w:fill="FFFFFF"/>
            <w:vAlign w:val="center"/>
          </w:tcPr>
          <w:p w14:paraId="1236D95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r>
      <w:tr w:rsidR="00C40C09" w:rsidRPr="00154DD5" w14:paraId="2BC3769F" w14:textId="77777777">
        <w:trPr>
          <w:jc w:val="center"/>
        </w:trPr>
        <w:tc>
          <w:tcPr>
            <w:tcW w:w="1461" w:type="dxa"/>
            <w:shd w:val="clear" w:color="auto" w:fill="FFFFFF"/>
            <w:vAlign w:val="center"/>
          </w:tcPr>
          <w:p w14:paraId="15C9273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Approve learner/staff communication</w:t>
            </w:r>
          </w:p>
        </w:tc>
        <w:tc>
          <w:tcPr>
            <w:tcW w:w="1461" w:type="dxa"/>
            <w:shd w:val="clear" w:color="auto" w:fill="FFFFFF"/>
            <w:vAlign w:val="center"/>
          </w:tcPr>
          <w:p w14:paraId="60F2A3C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w:t>
            </w:r>
          </w:p>
        </w:tc>
        <w:tc>
          <w:tcPr>
            <w:tcW w:w="1461" w:type="dxa"/>
            <w:shd w:val="clear" w:color="auto" w:fill="FFFFFF"/>
            <w:vAlign w:val="center"/>
          </w:tcPr>
          <w:p w14:paraId="5781DC9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w:t>
            </w:r>
          </w:p>
        </w:tc>
        <w:tc>
          <w:tcPr>
            <w:tcW w:w="1461" w:type="dxa"/>
            <w:shd w:val="clear" w:color="auto" w:fill="FFFFFF"/>
            <w:vAlign w:val="center"/>
          </w:tcPr>
          <w:p w14:paraId="2BF94C4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c>
          <w:tcPr>
            <w:tcW w:w="1461" w:type="dxa"/>
            <w:shd w:val="clear" w:color="auto" w:fill="FFFFFF"/>
            <w:vAlign w:val="center"/>
          </w:tcPr>
          <w:p w14:paraId="15F0001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w:t>
            </w:r>
          </w:p>
        </w:tc>
        <w:tc>
          <w:tcPr>
            <w:tcW w:w="1461" w:type="dxa"/>
            <w:shd w:val="clear" w:color="auto" w:fill="FFFFFF"/>
            <w:vAlign w:val="center"/>
          </w:tcPr>
          <w:p w14:paraId="333FF9A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c>
          <w:tcPr>
            <w:tcW w:w="1461" w:type="dxa"/>
            <w:shd w:val="clear" w:color="auto" w:fill="FFFFFF"/>
            <w:vAlign w:val="center"/>
          </w:tcPr>
          <w:p w14:paraId="38583A5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r>
      <w:tr w:rsidR="00C40C09" w:rsidRPr="00154DD5" w14:paraId="26FCDC94" w14:textId="77777777">
        <w:trPr>
          <w:jc w:val="center"/>
        </w:trPr>
        <w:tc>
          <w:tcPr>
            <w:tcW w:w="1461" w:type="dxa"/>
            <w:shd w:val="clear" w:color="auto" w:fill="FFFFFF"/>
            <w:vAlign w:val="center"/>
          </w:tcPr>
          <w:p w14:paraId="04AA892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Maintain manual finance/admissions records</w:t>
            </w:r>
          </w:p>
        </w:tc>
        <w:tc>
          <w:tcPr>
            <w:tcW w:w="1461" w:type="dxa"/>
            <w:shd w:val="clear" w:color="auto" w:fill="FFFFFF"/>
            <w:vAlign w:val="center"/>
          </w:tcPr>
          <w:p w14:paraId="1D5B88E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w:t>
            </w:r>
          </w:p>
        </w:tc>
        <w:tc>
          <w:tcPr>
            <w:tcW w:w="1461" w:type="dxa"/>
            <w:shd w:val="clear" w:color="auto" w:fill="FFFFFF"/>
            <w:vAlign w:val="center"/>
          </w:tcPr>
          <w:p w14:paraId="5B9F346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w:t>
            </w:r>
          </w:p>
        </w:tc>
        <w:tc>
          <w:tcPr>
            <w:tcW w:w="1461" w:type="dxa"/>
            <w:shd w:val="clear" w:color="auto" w:fill="FFFFFF"/>
            <w:vAlign w:val="center"/>
          </w:tcPr>
          <w:p w14:paraId="05A9EEE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c>
          <w:tcPr>
            <w:tcW w:w="1461" w:type="dxa"/>
            <w:shd w:val="clear" w:color="auto" w:fill="FFFFFF"/>
            <w:vAlign w:val="center"/>
          </w:tcPr>
          <w:p w14:paraId="633F7A3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w:t>
            </w:r>
          </w:p>
        </w:tc>
        <w:tc>
          <w:tcPr>
            <w:tcW w:w="1461" w:type="dxa"/>
            <w:shd w:val="clear" w:color="auto" w:fill="FFFFFF"/>
            <w:vAlign w:val="center"/>
          </w:tcPr>
          <w:p w14:paraId="1541AAA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w:t>
            </w:r>
          </w:p>
        </w:tc>
        <w:tc>
          <w:tcPr>
            <w:tcW w:w="1461" w:type="dxa"/>
            <w:shd w:val="clear" w:color="auto" w:fill="FFFFFF"/>
            <w:vAlign w:val="center"/>
          </w:tcPr>
          <w:p w14:paraId="133D053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r>
      <w:tr w:rsidR="00C40C09" w:rsidRPr="00154DD5" w14:paraId="5C0FCC44" w14:textId="77777777">
        <w:trPr>
          <w:jc w:val="center"/>
        </w:trPr>
        <w:tc>
          <w:tcPr>
            <w:tcW w:w="1461" w:type="dxa"/>
            <w:shd w:val="clear" w:color="auto" w:fill="FFFFFF"/>
            <w:vAlign w:val="center"/>
          </w:tcPr>
          <w:p w14:paraId="4DA6E0F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Approve return to primary site</w:t>
            </w:r>
          </w:p>
        </w:tc>
        <w:tc>
          <w:tcPr>
            <w:tcW w:w="1461" w:type="dxa"/>
            <w:shd w:val="clear" w:color="auto" w:fill="FFFFFF"/>
            <w:vAlign w:val="center"/>
          </w:tcPr>
          <w:p w14:paraId="1610932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w:t>
            </w:r>
          </w:p>
        </w:tc>
        <w:tc>
          <w:tcPr>
            <w:tcW w:w="1461" w:type="dxa"/>
            <w:shd w:val="clear" w:color="auto" w:fill="FFFFFF"/>
            <w:vAlign w:val="center"/>
          </w:tcPr>
          <w:p w14:paraId="14EB41C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w:t>
            </w:r>
          </w:p>
        </w:tc>
        <w:tc>
          <w:tcPr>
            <w:tcW w:w="1461" w:type="dxa"/>
            <w:shd w:val="clear" w:color="auto" w:fill="FFFFFF"/>
            <w:vAlign w:val="center"/>
          </w:tcPr>
          <w:p w14:paraId="2048132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c>
          <w:tcPr>
            <w:tcW w:w="1461" w:type="dxa"/>
            <w:shd w:val="clear" w:color="auto" w:fill="FFFFFF"/>
            <w:vAlign w:val="center"/>
          </w:tcPr>
          <w:p w14:paraId="0813125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w:t>
            </w:r>
          </w:p>
        </w:tc>
        <w:tc>
          <w:tcPr>
            <w:tcW w:w="1461" w:type="dxa"/>
            <w:shd w:val="clear" w:color="auto" w:fill="FFFFFF"/>
            <w:vAlign w:val="center"/>
          </w:tcPr>
          <w:p w14:paraId="5EB43BC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c>
          <w:tcPr>
            <w:tcW w:w="1461" w:type="dxa"/>
            <w:shd w:val="clear" w:color="auto" w:fill="FFFFFF"/>
            <w:vAlign w:val="center"/>
          </w:tcPr>
          <w:p w14:paraId="4366DBE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r>
      <w:tr w:rsidR="00C40C09" w:rsidRPr="00154DD5" w14:paraId="26C78179" w14:textId="77777777">
        <w:trPr>
          <w:jc w:val="center"/>
        </w:trPr>
        <w:tc>
          <w:tcPr>
            <w:tcW w:w="1461" w:type="dxa"/>
            <w:shd w:val="clear" w:color="auto" w:fill="FFFFFF"/>
            <w:vAlign w:val="center"/>
          </w:tcPr>
          <w:p w14:paraId="651C3D3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Final service acceptance and close plan</w:t>
            </w:r>
          </w:p>
        </w:tc>
        <w:tc>
          <w:tcPr>
            <w:tcW w:w="1461" w:type="dxa"/>
            <w:shd w:val="clear" w:color="auto" w:fill="FFFFFF"/>
            <w:vAlign w:val="center"/>
          </w:tcPr>
          <w:p w14:paraId="07666CF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w:t>
            </w:r>
          </w:p>
        </w:tc>
        <w:tc>
          <w:tcPr>
            <w:tcW w:w="1461" w:type="dxa"/>
            <w:shd w:val="clear" w:color="auto" w:fill="FFFFFF"/>
            <w:vAlign w:val="center"/>
          </w:tcPr>
          <w:p w14:paraId="7F6FC3E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w:t>
            </w:r>
          </w:p>
        </w:tc>
        <w:tc>
          <w:tcPr>
            <w:tcW w:w="1461" w:type="dxa"/>
            <w:shd w:val="clear" w:color="auto" w:fill="FFFFFF"/>
            <w:vAlign w:val="center"/>
          </w:tcPr>
          <w:p w14:paraId="7DBA81C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w:t>
            </w:r>
          </w:p>
        </w:tc>
        <w:tc>
          <w:tcPr>
            <w:tcW w:w="1461" w:type="dxa"/>
            <w:shd w:val="clear" w:color="auto" w:fill="FFFFFF"/>
            <w:vAlign w:val="center"/>
          </w:tcPr>
          <w:p w14:paraId="77109C0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c>
          <w:tcPr>
            <w:tcW w:w="1461" w:type="dxa"/>
            <w:shd w:val="clear" w:color="auto" w:fill="FFFFFF"/>
            <w:vAlign w:val="center"/>
          </w:tcPr>
          <w:p w14:paraId="533FC84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w:t>
            </w:r>
          </w:p>
        </w:tc>
        <w:tc>
          <w:tcPr>
            <w:tcW w:w="1461" w:type="dxa"/>
            <w:shd w:val="clear" w:color="auto" w:fill="FFFFFF"/>
            <w:vAlign w:val="center"/>
          </w:tcPr>
          <w:p w14:paraId="50F3747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w:t>
            </w:r>
          </w:p>
        </w:tc>
      </w:tr>
    </w:tbl>
    <w:p w14:paraId="4EBED80C" w14:textId="77777777" w:rsidR="00C40C09" w:rsidRPr="00154DD5" w:rsidRDefault="00C40C09">
      <w:pPr>
        <w:rPr>
          <w:rFonts w:ascii="Times New Roman" w:hAnsi="Times New Roman" w:cs="Times New Roman"/>
        </w:rPr>
      </w:pPr>
    </w:p>
    <w:p w14:paraId="0A731D14" w14:textId="77777777" w:rsidR="00C40C09" w:rsidRPr="00154DD5" w:rsidRDefault="00D07DBA">
      <w:pPr>
        <w:rPr>
          <w:rFonts w:ascii="Times New Roman" w:hAnsi="Times New Roman" w:cs="Times New Roman"/>
        </w:rPr>
      </w:pPr>
      <w:r w:rsidRPr="00154DD5">
        <w:rPr>
          <w:rFonts w:ascii="Times New Roman" w:hAnsi="Times New Roman" w:cs="Times New Roman"/>
        </w:rPr>
        <w:t>R = Responsible; A = Accountable; C = Consulted; I = Informed. Each activity has exactly one accountable role. The DR Lead is responsible for technical validation and restoration; business owners decide whether the restored service is fit for its business purpose.</w:t>
      </w:r>
    </w:p>
    <w:p w14:paraId="7D2F3E23"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lastRenderedPageBreak/>
        <w:t>4.3 Temporary procedures for F1–F5</w:t>
      </w:r>
    </w:p>
    <w:p w14:paraId="186FB58F" w14:textId="77777777" w:rsidR="00C40C09" w:rsidRPr="00154DD5" w:rsidRDefault="00D07DBA">
      <w:pPr>
        <w:pStyle w:val="ListBullet"/>
        <w:rPr>
          <w:rFonts w:ascii="Times New Roman" w:hAnsi="Times New Roman" w:cs="Times New Roman"/>
        </w:rPr>
      </w:pPr>
      <w:r w:rsidRPr="00154DD5">
        <w:rPr>
          <w:rFonts w:ascii="Times New Roman" w:hAnsi="Times New Roman" w:cs="Times New Roman"/>
        </w:rPr>
        <w:t>F1 examination: 120 learners are split into 40 requiring centre workstations and 80 using their own devices. The alternate site has 25 workstations, so all 40 centre-dependent learners cannot sit there simultaneously. By 09:00 the Academic Lead should confirm an approved plan: use the 25 workstations for an invigilated first group and a second controlled sitting, or arrange another verified venue/device pool. The exam owner must approve equivalent duration, secure question access, identity checks, invigilat</w:t>
      </w:r>
      <w:r w:rsidRPr="00154DD5">
        <w:rPr>
          <w:rFonts w:ascii="Times New Roman" w:hAnsi="Times New Roman" w:cs="Times New Roman"/>
        </w:rPr>
        <w:t>ion, accessibility arrangements and a documented schedule. Do not assume a split sitting is fair or permissible without academic approval. Keep attendance, start/finish times, incident notes and encrypted submission records.</w:t>
      </w:r>
    </w:p>
    <w:p w14:paraId="1094F7B5" w14:textId="77777777" w:rsidR="00C40C09" w:rsidRPr="00154DD5" w:rsidRDefault="00D07DBA">
      <w:pPr>
        <w:pStyle w:val="ListBullet"/>
        <w:rPr>
          <w:rFonts w:ascii="Times New Roman" w:hAnsi="Times New Roman" w:cs="Times New Roman"/>
        </w:rPr>
      </w:pPr>
      <w:r w:rsidRPr="00154DD5">
        <w:rPr>
          <w:rFonts w:ascii="Times New Roman" w:hAnsi="Times New Roman" w:cs="Times New Roman"/>
        </w:rPr>
        <w:t>F2 finance: use the payment provider's transaction reference and timestamp in a restricted register with two-person verification. Do not resend payment instructions solely because a local receipt is missing. Reconcile successful payments, reversals and duplicates against restored FIN01/DB01 before marking fees confirmed.</w:t>
      </w:r>
    </w:p>
    <w:p w14:paraId="3DEF9C8B" w14:textId="77777777" w:rsidR="00C40C09" w:rsidRPr="00154DD5" w:rsidRDefault="00D07DBA">
      <w:pPr>
        <w:pStyle w:val="ListBullet"/>
        <w:rPr>
          <w:rFonts w:ascii="Times New Roman" w:hAnsi="Times New Roman" w:cs="Times New Roman"/>
        </w:rPr>
      </w:pPr>
      <w:r w:rsidRPr="00154DD5">
        <w:rPr>
          <w:rFonts w:ascii="Times New Roman" w:hAnsi="Times New Roman" w:cs="Times New Roman"/>
        </w:rPr>
        <w:t>F3 admissions: capture application ID, timestamp, applicant contact, requested change and staff member in a restricted, numbered register. Send acknowledgement, not final confirmation, until records are entered and checked. Limit access to authorised admissions staff and preserve the original submission evidence.</w:t>
      </w:r>
    </w:p>
    <w:p w14:paraId="2C554668" w14:textId="77777777" w:rsidR="00C40C09" w:rsidRPr="00154DD5" w:rsidRDefault="00D07DBA">
      <w:pPr>
        <w:pStyle w:val="ListBullet"/>
        <w:rPr>
          <w:rFonts w:ascii="Times New Roman" w:hAnsi="Times New Roman" w:cs="Times New Roman"/>
        </w:rPr>
      </w:pPr>
      <w:r w:rsidRPr="00154DD5">
        <w:rPr>
          <w:rFonts w:ascii="Times New Roman" w:hAnsi="Times New Roman" w:cs="Times New Roman"/>
        </w:rPr>
        <w:t>F4 payroll: use the last approved payroll file as the baseline. Record each proposed change separately; HR prepares and a second authorised officer verifies totals, beneficiary details and duplicates. Submit only after reconciliation and sign-off before the bank deadline.</w:t>
      </w:r>
    </w:p>
    <w:p w14:paraId="5E7AC950" w14:textId="77777777" w:rsidR="00C40C09" w:rsidRPr="00154DD5" w:rsidRDefault="00D07DBA">
      <w:pPr>
        <w:pStyle w:val="ListBullet"/>
        <w:rPr>
          <w:rFonts w:ascii="Times New Roman" w:hAnsi="Times New Roman" w:cs="Times New Roman"/>
        </w:rPr>
      </w:pPr>
      <w:r w:rsidRPr="00154DD5">
        <w:rPr>
          <w:rFonts w:ascii="Times New Roman" w:hAnsi="Times New Roman" w:cs="Times New Roman"/>
        </w:rPr>
        <w:t>F5 records: accept requests in a logged queue, verify identity and access entitlement, and prioritise requests approaching the 48-hour commitment. Do not release a certificate or alter a record if source integrity cannot be established. Record deferred requests and notify the requester.</w:t>
      </w:r>
    </w:p>
    <w:p w14:paraId="2789F17C" w14:textId="77777777" w:rsidR="00C40C09" w:rsidRPr="00154DD5" w:rsidRDefault="00D07DBA">
      <w:pPr>
        <w:rPr>
          <w:rFonts w:ascii="Times New Roman" w:hAnsi="Times New Roman" w:cs="Times New Roman"/>
        </w:rPr>
      </w:pPr>
      <w:r w:rsidRPr="00154DD5">
        <w:rPr>
          <w:rFonts w:ascii="Times New Roman" w:hAnsi="Times New Roman" w:cs="Times New Roman"/>
        </w:rPr>
        <w:t>Minimum operational support is two DR technicians, the continuity coordinator, an examination lead and invigilators, finance/admissions/payroll representatives, a records representative, facilities support, secure laptops/workstations, power and mobile internet, approved authentication, printed or offline controlled registers, secure storage, and supplier contacts. Accessibility and privacy controls apply equally at the alternate site.</w:t>
      </w:r>
    </w:p>
    <w:p w14:paraId="7201D957" w14:textId="77777777" w:rsidR="00C40C09" w:rsidRPr="00154DD5" w:rsidRDefault="00D07DBA">
      <w:pPr>
        <w:rPr>
          <w:rFonts w:ascii="Times New Roman" w:hAnsi="Times New Roman" w:cs="Times New Roman"/>
        </w:rPr>
      </w:pPr>
      <w:r w:rsidRPr="00154DD5">
        <w:rPr>
          <w:rFonts w:ascii="Times New Roman" w:hAnsi="Times New Roman" w:cs="Times New Roman"/>
        </w:rPr>
        <w:t xml:space="preserve">For the examination, the 25 available workstations cannot serve all 40 learners who require a centre device at the same time. The Academic Lead should decide before the examination begins whether an approved staggered sitting, loan devices, or another accessible venue can preserve equivalent timing and invigilation. The 80 learners using their own devices still need a tested submission route and a clear instruction if mobile connectivity fails. Staff must not improvise a change to examination rules without </w:t>
      </w:r>
      <w:r w:rsidRPr="00154DD5">
        <w:rPr>
          <w:rFonts w:ascii="Times New Roman" w:hAnsi="Times New Roman" w:cs="Times New Roman"/>
        </w:rPr>
        <w:t>approval. Any paper or offline submissions should be numbered, time-stamped, stored securely, and checked by two authorised staff before later entry into LMS01.</w:t>
      </w:r>
    </w:p>
    <w:p w14:paraId="4BFBE0C1"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4.4 DR runbook</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50"/>
        <w:gridCol w:w="2553"/>
        <w:gridCol w:w="2553"/>
        <w:gridCol w:w="2552"/>
      </w:tblGrid>
      <w:tr w:rsidR="00C40C09" w:rsidRPr="00154DD5" w14:paraId="0DE1C174" w14:textId="77777777">
        <w:trPr>
          <w:jc w:val="center"/>
        </w:trPr>
        <w:tc>
          <w:tcPr>
            <w:tcW w:w="2556" w:type="dxa"/>
            <w:shd w:val="clear" w:color="auto" w:fill="FFFFFF"/>
            <w:vAlign w:val="center"/>
          </w:tcPr>
          <w:p w14:paraId="18EA399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Step / target</w:t>
            </w:r>
          </w:p>
        </w:tc>
        <w:tc>
          <w:tcPr>
            <w:tcW w:w="2556" w:type="dxa"/>
            <w:shd w:val="clear" w:color="auto" w:fill="FFFFFF"/>
            <w:vAlign w:val="center"/>
          </w:tcPr>
          <w:p w14:paraId="6CAFF16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Owner and prerequisite</w:t>
            </w:r>
          </w:p>
        </w:tc>
        <w:tc>
          <w:tcPr>
            <w:tcW w:w="2556" w:type="dxa"/>
            <w:shd w:val="clear" w:color="auto" w:fill="FFFFFF"/>
            <w:vAlign w:val="center"/>
          </w:tcPr>
          <w:p w14:paraId="34CDDCC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Action and completion check</w:t>
            </w:r>
          </w:p>
        </w:tc>
        <w:tc>
          <w:tcPr>
            <w:tcW w:w="2556" w:type="dxa"/>
            <w:shd w:val="clear" w:color="auto" w:fill="FFFFFF"/>
            <w:vAlign w:val="center"/>
          </w:tcPr>
          <w:p w14:paraId="589CAE9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If the step fails</w:t>
            </w:r>
          </w:p>
        </w:tc>
      </w:tr>
      <w:tr w:rsidR="00C40C09" w:rsidRPr="00154DD5" w14:paraId="7982A165" w14:textId="77777777">
        <w:trPr>
          <w:jc w:val="center"/>
        </w:trPr>
        <w:tc>
          <w:tcPr>
            <w:tcW w:w="2556" w:type="dxa"/>
            <w:shd w:val="clear" w:color="auto" w:fill="FFFFFF"/>
            <w:vAlign w:val="center"/>
          </w:tcPr>
          <w:p w14:paraId="28C72B4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 Declare and log; 08:00–08:15</w:t>
            </w:r>
          </w:p>
        </w:tc>
        <w:tc>
          <w:tcPr>
            <w:tcW w:w="2556" w:type="dxa"/>
            <w:shd w:val="clear" w:color="auto" w:fill="FFFFFF"/>
            <w:vAlign w:val="center"/>
          </w:tcPr>
          <w:p w14:paraId="7BD3F5B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Continuity Coordinator; site unavailable confirmed</w:t>
            </w:r>
          </w:p>
        </w:tc>
        <w:tc>
          <w:tcPr>
            <w:tcW w:w="2556" w:type="dxa"/>
            <w:shd w:val="clear" w:color="auto" w:fill="FFFFFF"/>
            <w:vAlign w:val="center"/>
          </w:tcPr>
          <w:p w14:paraId="0D8767A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Open incident/continuity log, name decision maker and deputy, contact leads, issue first situation report.</w:t>
            </w:r>
          </w:p>
        </w:tc>
        <w:tc>
          <w:tcPr>
            <w:tcW w:w="2556" w:type="dxa"/>
            <w:shd w:val="clear" w:color="auto" w:fill="FFFFFF"/>
            <w:vAlign w:val="center"/>
          </w:tcPr>
          <w:p w14:paraId="1E9FF4E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Use out-of-band contact tree; escalate to executive sponsor.</w:t>
            </w:r>
          </w:p>
        </w:tc>
      </w:tr>
      <w:tr w:rsidR="00C40C09" w:rsidRPr="00154DD5" w14:paraId="72F6A597" w14:textId="77777777">
        <w:trPr>
          <w:jc w:val="center"/>
        </w:trPr>
        <w:tc>
          <w:tcPr>
            <w:tcW w:w="2556" w:type="dxa"/>
            <w:shd w:val="clear" w:color="auto" w:fill="FFFFFF"/>
            <w:vAlign w:val="center"/>
          </w:tcPr>
          <w:p w14:paraId="2376A65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2. Confirm site safety; parallel</w:t>
            </w:r>
          </w:p>
        </w:tc>
        <w:tc>
          <w:tcPr>
            <w:tcW w:w="2556" w:type="dxa"/>
            <w:shd w:val="clear" w:color="auto" w:fill="FFFFFF"/>
            <w:vAlign w:val="center"/>
          </w:tcPr>
          <w:p w14:paraId="19D81AD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Facilities Lead; site closure report</w:t>
            </w:r>
          </w:p>
        </w:tc>
        <w:tc>
          <w:tcPr>
            <w:tcW w:w="2556" w:type="dxa"/>
            <w:shd w:val="clear" w:color="auto" w:fill="FFFFFF"/>
            <w:vAlign w:val="center"/>
          </w:tcPr>
          <w:p w14:paraId="12899B2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Record expected duration; prevent unsafe entry; confirm alternate facility readiness, power and connectivity.</w:t>
            </w:r>
          </w:p>
        </w:tc>
        <w:tc>
          <w:tcPr>
            <w:tcW w:w="2556" w:type="dxa"/>
            <w:shd w:val="clear" w:color="auto" w:fill="FFFFFF"/>
            <w:vAlign w:val="center"/>
          </w:tcPr>
          <w:p w14:paraId="44119E6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Keep site closed; request alternate venue/supplier support.</w:t>
            </w:r>
          </w:p>
        </w:tc>
      </w:tr>
      <w:tr w:rsidR="00C40C09" w:rsidRPr="00154DD5" w14:paraId="4B57B045" w14:textId="77777777">
        <w:trPr>
          <w:jc w:val="center"/>
        </w:trPr>
        <w:tc>
          <w:tcPr>
            <w:tcW w:w="2556" w:type="dxa"/>
            <w:shd w:val="clear" w:color="auto" w:fill="FFFFFF"/>
            <w:vAlign w:val="center"/>
          </w:tcPr>
          <w:p w14:paraId="7B3B795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3. Activate alternate network; 08:00–08:30</w:t>
            </w:r>
          </w:p>
        </w:tc>
        <w:tc>
          <w:tcPr>
            <w:tcW w:w="2556" w:type="dxa"/>
            <w:shd w:val="clear" w:color="auto" w:fill="FFFFFF"/>
            <w:vAlign w:val="center"/>
          </w:tcPr>
          <w:p w14:paraId="33AA85E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DR Lead; two technicians available</w:t>
            </w:r>
          </w:p>
        </w:tc>
        <w:tc>
          <w:tcPr>
            <w:tcW w:w="2556" w:type="dxa"/>
            <w:shd w:val="clear" w:color="auto" w:fill="FFFFFF"/>
            <w:vAlign w:val="center"/>
          </w:tcPr>
          <w:p w14:paraId="2FDEADA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Configure recovery network; test routing, secure access and connectivity.</w:t>
            </w:r>
          </w:p>
        </w:tc>
        <w:tc>
          <w:tcPr>
            <w:tcW w:w="2556" w:type="dxa"/>
            <w:shd w:val="clear" w:color="auto" w:fill="FFFFFF"/>
            <w:vAlign w:val="center"/>
          </w:tcPr>
          <w:p w14:paraId="0CB9B4B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Use documented fallback connectivity; do not expose systems to an untrusted network.</w:t>
            </w:r>
          </w:p>
        </w:tc>
      </w:tr>
      <w:tr w:rsidR="00C40C09" w:rsidRPr="00154DD5" w14:paraId="7A2FF5B9" w14:textId="77777777">
        <w:trPr>
          <w:jc w:val="center"/>
        </w:trPr>
        <w:tc>
          <w:tcPr>
            <w:tcW w:w="2556" w:type="dxa"/>
            <w:shd w:val="clear" w:color="auto" w:fill="FFFFFF"/>
            <w:vAlign w:val="center"/>
          </w:tcPr>
          <w:p w14:paraId="7E12195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4. Restore AUTH01; 08:30–09:00</w:t>
            </w:r>
          </w:p>
        </w:tc>
        <w:tc>
          <w:tcPr>
            <w:tcW w:w="2556" w:type="dxa"/>
            <w:shd w:val="clear" w:color="auto" w:fill="FFFFFF"/>
            <w:vAlign w:val="center"/>
          </w:tcPr>
          <w:p w14:paraId="1762E30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DR Lead; network validated</w:t>
            </w:r>
          </w:p>
        </w:tc>
        <w:tc>
          <w:tcPr>
            <w:tcW w:w="2556" w:type="dxa"/>
            <w:shd w:val="clear" w:color="auto" w:fill="FFFFFF"/>
            <w:vAlign w:val="center"/>
          </w:tcPr>
          <w:p w14:paraId="47ABE42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Restore B03 snapshot; validate directory services, admin access and required policies.</w:t>
            </w:r>
          </w:p>
        </w:tc>
        <w:tc>
          <w:tcPr>
            <w:tcW w:w="2556" w:type="dxa"/>
            <w:shd w:val="clear" w:color="auto" w:fill="FFFFFF"/>
            <w:vAlign w:val="center"/>
          </w:tcPr>
          <w:p w14:paraId="285C5B8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Use approved emergency identity procedure; document 8-hour checkpoint gap.</w:t>
            </w:r>
          </w:p>
        </w:tc>
      </w:tr>
      <w:tr w:rsidR="00C40C09" w:rsidRPr="00154DD5" w14:paraId="6C6AC744" w14:textId="77777777">
        <w:trPr>
          <w:jc w:val="center"/>
        </w:trPr>
        <w:tc>
          <w:tcPr>
            <w:tcW w:w="2556" w:type="dxa"/>
            <w:shd w:val="clear" w:color="auto" w:fill="FFFFFF"/>
            <w:vAlign w:val="center"/>
          </w:tcPr>
          <w:p w14:paraId="1CF2B67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5. Security and backup checks; 09:00–09:30</w:t>
            </w:r>
          </w:p>
        </w:tc>
        <w:tc>
          <w:tcPr>
            <w:tcW w:w="2556" w:type="dxa"/>
            <w:shd w:val="clear" w:color="auto" w:fill="FFFFFF"/>
            <w:vAlign w:val="center"/>
          </w:tcPr>
          <w:p w14:paraId="264DC6D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DR Lead with incident response consultation</w:t>
            </w:r>
          </w:p>
        </w:tc>
        <w:tc>
          <w:tcPr>
            <w:tcW w:w="2556" w:type="dxa"/>
            <w:shd w:val="clear" w:color="auto" w:fill="FFFFFF"/>
            <w:vAlign w:val="center"/>
          </w:tcPr>
          <w:p w14:paraId="10D141D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Check source integrity, restore permissions and access independence; verify DB01 chain.</w:t>
            </w:r>
          </w:p>
        </w:tc>
        <w:tc>
          <w:tcPr>
            <w:tcW w:w="2556" w:type="dxa"/>
            <w:shd w:val="clear" w:color="auto" w:fill="FFFFFF"/>
            <w:vAlign w:val="center"/>
          </w:tcPr>
          <w:p w14:paraId="46D820A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Quarantine suspect copy, investigate unusual access, choose earlier verified recovery point and notify owners of RPO breach.</w:t>
            </w:r>
          </w:p>
        </w:tc>
      </w:tr>
      <w:tr w:rsidR="00C40C09" w:rsidRPr="00154DD5" w14:paraId="6919788B" w14:textId="77777777">
        <w:trPr>
          <w:jc w:val="center"/>
        </w:trPr>
        <w:tc>
          <w:tcPr>
            <w:tcW w:w="2556" w:type="dxa"/>
            <w:shd w:val="clear" w:color="auto" w:fill="FFFFFF"/>
            <w:vAlign w:val="center"/>
          </w:tcPr>
          <w:p w14:paraId="576B78E8"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6. Restore DB01; 09:30–11:00</w:t>
            </w:r>
          </w:p>
        </w:tc>
        <w:tc>
          <w:tcPr>
            <w:tcW w:w="2556" w:type="dxa"/>
            <w:shd w:val="clear" w:color="auto" w:fill="FFFFFF"/>
            <w:vAlign w:val="center"/>
          </w:tcPr>
          <w:p w14:paraId="510A4A3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DR Lead; checks passed</w:t>
            </w:r>
          </w:p>
        </w:tc>
        <w:tc>
          <w:tcPr>
            <w:tcW w:w="2556" w:type="dxa"/>
            <w:shd w:val="clear" w:color="auto" w:fill="FFFFFF"/>
            <w:vAlign w:val="center"/>
          </w:tcPr>
          <w:p w14:paraId="12CD724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 xml:space="preserve">Restore B01 plus each incremental through 07:00; validate database integrity, </w:t>
            </w:r>
            <w:r w:rsidRPr="00154DD5">
              <w:rPr>
                <w:rFonts w:ascii="Times New Roman" w:hAnsi="Times New Roman" w:cs="Times New Roman"/>
                <w:sz w:val="17"/>
              </w:rPr>
              <w:lastRenderedPageBreak/>
              <w:t>consistency and sample records.</w:t>
            </w:r>
          </w:p>
        </w:tc>
        <w:tc>
          <w:tcPr>
            <w:tcW w:w="2556" w:type="dxa"/>
            <w:shd w:val="clear" w:color="auto" w:fill="FFFFFF"/>
            <w:vAlign w:val="center"/>
          </w:tcPr>
          <w:p w14:paraId="6EA5C8E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lastRenderedPageBreak/>
              <w:t xml:space="preserve">Stop application cutover; recover from last complete known-good chain and reconcile later </w:t>
            </w:r>
            <w:r w:rsidRPr="00154DD5">
              <w:rPr>
                <w:rFonts w:ascii="Times New Roman" w:hAnsi="Times New Roman" w:cs="Times New Roman"/>
                <w:sz w:val="17"/>
              </w:rPr>
              <w:lastRenderedPageBreak/>
              <w:t>transactions.</w:t>
            </w:r>
          </w:p>
        </w:tc>
      </w:tr>
      <w:tr w:rsidR="00C40C09" w:rsidRPr="00154DD5" w14:paraId="162887BE" w14:textId="77777777">
        <w:trPr>
          <w:jc w:val="center"/>
        </w:trPr>
        <w:tc>
          <w:tcPr>
            <w:tcW w:w="2556" w:type="dxa"/>
            <w:shd w:val="clear" w:color="auto" w:fill="FFFFFF"/>
            <w:vAlign w:val="center"/>
          </w:tcPr>
          <w:p w14:paraId="11326DE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lastRenderedPageBreak/>
              <w:t>7. Restore FS01; 09:30–10:30 in parallel</w:t>
            </w:r>
          </w:p>
        </w:tc>
        <w:tc>
          <w:tcPr>
            <w:tcW w:w="2556" w:type="dxa"/>
            <w:shd w:val="clear" w:color="auto" w:fill="FFFFFF"/>
            <w:vAlign w:val="center"/>
          </w:tcPr>
          <w:p w14:paraId="56AEDEA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Second technician; AUTH01 and checks complete</w:t>
            </w:r>
          </w:p>
        </w:tc>
        <w:tc>
          <w:tcPr>
            <w:tcW w:w="2556" w:type="dxa"/>
            <w:shd w:val="clear" w:color="auto" w:fill="FFFFFF"/>
            <w:vAlign w:val="center"/>
          </w:tcPr>
          <w:p w14:paraId="0D9FAAA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Restore B04; verify file counts, permissions and sample certificates.</w:t>
            </w:r>
          </w:p>
        </w:tc>
        <w:tc>
          <w:tcPr>
            <w:tcW w:w="2556" w:type="dxa"/>
            <w:shd w:val="clear" w:color="auto" w:fill="FFFFFF"/>
            <w:vAlign w:val="center"/>
          </w:tcPr>
          <w:p w14:paraId="4163365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Use controlled read-only access to verified files or defer release; investigate corruption.</w:t>
            </w:r>
          </w:p>
        </w:tc>
      </w:tr>
      <w:tr w:rsidR="00C40C09" w:rsidRPr="00154DD5" w14:paraId="4EF577AF" w14:textId="77777777">
        <w:trPr>
          <w:jc w:val="center"/>
        </w:trPr>
        <w:tc>
          <w:tcPr>
            <w:tcW w:w="2556" w:type="dxa"/>
            <w:shd w:val="clear" w:color="auto" w:fill="FFFFFF"/>
            <w:vAlign w:val="center"/>
          </w:tcPr>
          <w:p w14:paraId="2BEC393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8. Restore applications; from 11:00</w:t>
            </w:r>
          </w:p>
        </w:tc>
        <w:tc>
          <w:tcPr>
            <w:tcW w:w="2556" w:type="dxa"/>
            <w:shd w:val="clear" w:color="auto" w:fill="FFFFFF"/>
            <w:vAlign w:val="center"/>
          </w:tcPr>
          <w:p w14:paraId="205C183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DR Lead; DB01 validated</w:t>
            </w:r>
          </w:p>
        </w:tc>
        <w:tc>
          <w:tcPr>
            <w:tcW w:w="2556" w:type="dxa"/>
            <w:shd w:val="clear" w:color="auto" w:fill="FFFFFF"/>
            <w:vAlign w:val="center"/>
          </w:tcPr>
          <w:p w14:paraId="081923D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Restore LMS01, FIN01, REG01 and HR01 in dependency-safe order; test login, transactions and access controls.</w:t>
            </w:r>
          </w:p>
        </w:tc>
        <w:tc>
          <w:tcPr>
            <w:tcW w:w="2556" w:type="dxa"/>
            <w:shd w:val="clear" w:color="auto" w:fill="FFFFFF"/>
            <w:vAlign w:val="center"/>
          </w:tcPr>
          <w:p w14:paraId="478185C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Keep affected function on approved workaround; rollback to last known-good state if validation fails.</w:t>
            </w:r>
          </w:p>
        </w:tc>
      </w:tr>
      <w:tr w:rsidR="00C40C09" w:rsidRPr="00154DD5" w14:paraId="1CA8CD1D" w14:textId="77777777">
        <w:trPr>
          <w:jc w:val="center"/>
        </w:trPr>
        <w:tc>
          <w:tcPr>
            <w:tcW w:w="2556" w:type="dxa"/>
            <w:shd w:val="clear" w:color="auto" w:fill="FFFFFF"/>
            <w:vAlign w:val="center"/>
          </w:tcPr>
          <w:p w14:paraId="39FD595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9. Business acceptance; after each service</w:t>
            </w:r>
          </w:p>
        </w:tc>
        <w:tc>
          <w:tcPr>
            <w:tcW w:w="2556" w:type="dxa"/>
            <w:shd w:val="clear" w:color="auto" w:fill="FFFFFF"/>
            <w:vAlign w:val="center"/>
          </w:tcPr>
          <w:p w14:paraId="4759B74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Relevant business owner</w:t>
            </w:r>
          </w:p>
        </w:tc>
        <w:tc>
          <w:tcPr>
            <w:tcW w:w="2556" w:type="dxa"/>
            <w:shd w:val="clear" w:color="auto" w:fill="FFFFFF"/>
            <w:vAlign w:val="center"/>
          </w:tcPr>
          <w:p w14:paraId="57D9C42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Test a representative learner assessment, payment reconciliation, registration entry, payroll totals or records retrieval.</w:t>
            </w:r>
          </w:p>
        </w:tc>
        <w:tc>
          <w:tcPr>
            <w:tcW w:w="2556" w:type="dxa"/>
            <w:shd w:val="clear" w:color="auto" w:fill="FFFFFF"/>
            <w:vAlign w:val="center"/>
          </w:tcPr>
          <w:p w14:paraId="5846514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Do not declare service recovered; record defects, owner and retest time.</w:t>
            </w:r>
          </w:p>
        </w:tc>
      </w:tr>
      <w:tr w:rsidR="00C40C09" w:rsidRPr="00154DD5" w14:paraId="20C52BD9" w14:textId="77777777">
        <w:trPr>
          <w:jc w:val="center"/>
        </w:trPr>
        <w:tc>
          <w:tcPr>
            <w:tcW w:w="2556" w:type="dxa"/>
            <w:shd w:val="clear" w:color="auto" w:fill="FFFFFF"/>
            <w:vAlign w:val="center"/>
          </w:tcPr>
          <w:p w14:paraId="12D18D7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10. Controlled return and closure</w:t>
            </w:r>
          </w:p>
        </w:tc>
        <w:tc>
          <w:tcPr>
            <w:tcW w:w="2556" w:type="dxa"/>
            <w:shd w:val="clear" w:color="auto" w:fill="FFFFFF"/>
            <w:vAlign w:val="center"/>
          </w:tcPr>
          <w:p w14:paraId="0C2D672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Director/Principal, Facilities and Continuity Coordinator</w:t>
            </w:r>
          </w:p>
        </w:tc>
        <w:tc>
          <w:tcPr>
            <w:tcW w:w="2556" w:type="dxa"/>
            <w:shd w:val="clear" w:color="auto" w:fill="FFFFFF"/>
            <w:vAlign w:val="center"/>
          </w:tcPr>
          <w:p w14:paraId="44DAF0E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Return only after facilities clearance, secure connectivity, validated systems, record reconciliation and business sign-off.</w:t>
            </w:r>
          </w:p>
        </w:tc>
        <w:tc>
          <w:tcPr>
            <w:tcW w:w="2556" w:type="dxa"/>
            <w:shd w:val="clear" w:color="auto" w:fill="FFFFFF"/>
            <w:vAlign w:val="center"/>
          </w:tcPr>
          <w:p w14:paraId="1E57939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Continue alternate arrangements and escalate unresolved safety, integrity or access issues.</w:t>
            </w:r>
          </w:p>
        </w:tc>
      </w:tr>
    </w:tbl>
    <w:p w14:paraId="472FD536" w14:textId="77777777" w:rsidR="00C40C09" w:rsidRPr="00154DD5" w:rsidRDefault="00C40C09">
      <w:pPr>
        <w:rPr>
          <w:rFonts w:ascii="Times New Roman" w:hAnsi="Times New Roman" w:cs="Times New Roman"/>
        </w:rPr>
      </w:pPr>
    </w:p>
    <w:p w14:paraId="111346FF"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4.5 Stakeholder communication matrix</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52"/>
        <w:gridCol w:w="2551"/>
        <w:gridCol w:w="2554"/>
        <w:gridCol w:w="2551"/>
      </w:tblGrid>
      <w:tr w:rsidR="00C40C09" w:rsidRPr="00154DD5" w14:paraId="58353AA2" w14:textId="77777777">
        <w:trPr>
          <w:jc w:val="center"/>
        </w:trPr>
        <w:tc>
          <w:tcPr>
            <w:tcW w:w="2556" w:type="dxa"/>
            <w:shd w:val="clear" w:color="auto" w:fill="FFFFFF"/>
            <w:vAlign w:val="center"/>
          </w:tcPr>
          <w:p w14:paraId="2B9757F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Audience</w:t>
            </w:r>
          </w:p>
        </w:tc>
        <w:tc>
          <w:tcPr>
            <w:tcW w:w="2556" w:type="dxa"/>
            <w:shd w:val="clear" w:color="auto" w:fill="FFFFFF"/>
            <w:vAlign w:val="center"/>
          </w:tcPr>
          <w:p w14:paraId="6816627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Channel / timing</w:t>
            </w:r>
          </w:p>
        </w:tc>
        <w:tc>
          <w:tcPr>
            <w:tcW w:w="2556" w:type="dxa"/>
            <w:shd w:val="clear" w:color="auto" w:fill="FFFFFF"/>
            <w:vAlign w:val="center"/>
          </w:tcPr>
          <w:p w14:paraId="3DCC50D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Message owner</w:t>
            </w:r>
          </w:p>
        </w:tc>
        <w:tc>
          <w:tcPr>
            <w:tcW w:w="2556" w:type="dxa"/>
            <w:shd w:val="clear" w:color="auto" w:fill="FFFFFF"/>
            <w:vAlign w:val="center"/>
          </w:tcPr>
          <w:p w14:paraId="6246FBC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Control</w:t>
            </w:r>
          </w:p>
        </w:tc>
      </w:tr>
      <w:tr w:rsidR="00C40C09" w:rsidRPr="00154DD5" w14:paraId="5F9CF9E2" w14:textId="77777777">
        <w:trPr>
          <w:jc w:val="center"/>
        </w:trPr>
        <w:tc>
          <w:tcPr>
            <w:tcW w:w="2556" w:type="dxa"/>
            <w:shd w:val="clear" w:color="auto" w:fill="FFFFFF"/>
            <w:vAlign w:val="center"/>
          </w:tcPr>
          <w:p w14:paraId="0D174E0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Staff and learners</w:t>
            </w:r>
          </w:p>
        </w:tc>
        <w:tc>
          <w:tcPr>
            <w:tcW w:w="2556" w:type="dxa"/>
            <w:shd w:val="clear" w:color="auto" w:fill="FFFFFF"/>
            <w:vAlign w:val="center"/>
          </w:tcPr>
          <w:p w14:paraId="5219B2C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M365 email/portal and approved alternate channels; initial notice then scheduled updates</w:t>
            </w:r>
          </w:p>
        </w:tc>
        <w:tc>
          <w:tcPr>
            <w:tcW w:w="2556" w:type="dxa"/>
            <w:shd w:val="clear" w:color="auto" w:fill="FFFFFF"/>
            <w:vAlign w:val="center"/>
          </w:tcPr>
          <w:p w14:paraId="3EEC00F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Communications Lead with Continuity Coordinator</w:t>
            </w:r>
          </w:p>
        </w:tc>
        <w:tc>
          <w:tcPr>
            <w:tcW w:w="2556" w:type="dxa"/>
            <w:shd w:val="clear" w:color="auto" w:fill="FFFFFF"/>
            <w:vAlign w:val="center"/>
          </w:tcPr>
          <w:p w14:paraId="7EECDB1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Avoid unverified cause, personal data and unsupported promises.</w:t>
            </w:r>
          </w:p>
        </w:tc>
      </w:tr>
      <w:tr w:rsidR="00C40C09" w:rsidRPr="00154DD5" w14:paraId="1448B6A1" w14:textId="77777777">
        <w:trPr>
          <w:jc w:val="center"/>
        </w:trPr>
        <w:tc>
          <w:tcPr>
            <w:tcW w:w="2556" w:type="dxa"/>
            <w:shd w:val="clear" w:color="auto" w:fill="FFFFFF"/>
            <w:vAlign w:val="center"/>
          </w:tcPr>
          <w:p w14:paraId="242B43B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Executives</w:t>
            </w:r>
          </w:p>
        </w:tc>
        <w:tc>
          <w:tcPr>
            <w:tcW w:w="2556" w:type="dxa"/>
            <w:shd w:val="clear" w:color="auto" w:fill="FFFFFF"/>
            <w:vAlign w:val="center"/>
          </w:tcPr>
          <w:p w14:paraId="2AD1C3E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Situation report at activation and at agreed intervals / material change</w:t>
            </w:r>
          </w:p>
        </w:tc>
        <w:tc>
          <w:tcPr>
            <w:tcW w:w="2556" w:type="dxa"/>
            <w:shd w:val="clear" w:color="auto" w:fill="FFFFFF"/>
            <w:vAlign w:val="center"/>
          </w:tcPr>
          <w:p w14:paraId="4C5581D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Continuity Coordinator</w:t>
            </w:r>
          </w:p>
        </w:tc>
        <w:tc>
          <w:tcPr>
            <w:tcW w:w="2556" w:type="dxa"/>
            <w:shd w:val="clear" w:color="auto" w:fill="FFFFFF"/>
            <w:vAlign w:val="center"/>
          </w:tcPr>
          <w:p w14:paraId="0763A1F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Include service status, deadlines, risks, decisions required and next update.</w:t>
            </w:r>
          </w:p>
        </w:tc>
      </w:tr>
      <w:tr w:rsidR="00C40C09" w:rsidRPr="00154DD5" w14:paraId="5B002EE0" w14:textId="77777777">
        <w:trPr>
          <w:jc w:val="center"/>
        </w:trPr>
        <w:tc>
          <w:tcPr>
            <w:tcW w:w="2556" w:type="dxa"/>
            <w:shd w:val="clear" w:color="auto" w:fill="FFFFFF"/>
            <w:vAlign w:val="center"/>
          </w:tcPr>
          <w:p w14:paraId="4492FFA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Payment provider and key suppliers</w:t>
            </w:r>
          </w:p>
        </w:tc>
        <w:tc>
          <w:tcPr>
            <w:tcW w:w="2556" w:type="dxa"/>
            <w:shd w:val="clear" w:color="auto" w:fill="FFFFFF"/>
            <w:vAlign w:val="center"/>
          </w:tcPr>
          <w:p w14:paraId="56676AB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Known support and escalation channels as needed</w:t>
            </w:r>
          </w:p>
        </w:tc>
        <w:tc>
          <w:tcPr>
            <w:tcW w:w="2556" w:type="dxa"/>
            <w:shd w:val="clear" w:color="auto" w:fill="FFFFFF"/>
            <w:vAlign w:val="center"/>
          </w:tcPr>
          <w:p w14:paraId="587694C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Finance / DR Lead</w:t>
            </w:r>
          </w:p>
        </w:tc>
        <w:tc>
          <w:tcPr>
            <w:tcW w:w="2556" w:type="dxa"/>
            <w:shd w:val="clear" w:color="auto" w:fill="FFFFFF"/>
            <w:vAlign w:val="center"/>
          </w:tcPr>
          <w:p w14:paraId="58374288"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Record case number, time and advice received.</w:t>
            </w:r>
          </w:p>
        </w:tc>
      </w:tr>
      <w:tr w:rsidR="00C40C09" w:rsidRPr="00154DD5" w14:paraId="69854D47" w14:textId="77777777">
        <w:trPr>
          <w:jc w:val="center"/>
        </w:trPr>
        <w:tc>
          <w:tcPr>
            <w:tcW w:w="2556" w:type="dxa"/>
            <w:shd w:val="clear" w:color="auto" w:fill="FFFFFF"/>
            <w:vAlign w:val="center"/>
          </w:tcPr>
          <w:p w14:paraId="31132E8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Parents/guardians or external stakeholders, if applicable</w:t>
            </w:r>
          </w:p>
        </w:tc>
        <w:tc>
          <w:tcPr>
            <w:tcW w:w="2556" w:type="dxa"/>
            <w:shd w:val="clear" w:color="auto" w:fill="FFFFFF"/>
            <w:vAlign w:val="center"/>
          </w:tcPr>
          <w:p w14:paraId="47EDB5A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Approved institutional channel when service impact requires it</w:t>
            </w:r>
          </w:p>
        </w:tc>
        <w:tc>
          <w:tcPr>
            <w:tcW w:w="2556" w:type="dxa"/>
            <w:shd w:val="clear" w:color="auto" w:fill="FFFFFF"/>
            <w:vAlign w:val="center"/>
          </w:tcPr>
          <w:p w14:paraId="055DDC9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Director/Communications Lead</w:t>
            </w:r>
          </w:p>
        </w:tc>
        <w:tc>
          <w:tcPr>
            <w:tcW w:w="2556" w:type="dxa"/>
            <w:shd w:val="clear" w:color="auto" w:fill="FFFFFF"/>
            <w:vAlign w:val="center"/>
          </w:tcPr>
          <w:p w14:paraId="7CE49DC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Use consistent approved wording.</w:t>
            </w:r>
          </w:p>
        </w:tc>
      </w:tr>
      <w:tr w:rsidR="00C40C09" w:rsidRPr="00154DD5" w14:paraId="0B403887" w14:textId="77777777">
        <w:trPr>
          <w:jc w:val="center"/>
        </w:trPr>
        <w:tc>
          <w:tcPr>
            <w:tcW w:w="2556" w:type="dxa"/>
            <w:shd w:val="clear" w:color="auto" w:fill="FFFFFF"/>
            <w:vAlign w:val="center"/>
          </w:tcPr>
          <w:p w14:paraId="39F29E58"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Privacy/legal or incident response specialists</w:t>
            </w:r>
          </w:p>
        </w:tc>
        <w:tc>
          <w:tcPr>
            <w:tcW w:w="2556" w:type="dxa"/>
            <w:shd w:val="clear" w:color="auto" w:fill="FFFFFF"/>
            <w:vAlign w:val="center"/>
          </w:tcPr>
          <w:p w14:paraId="2BB171F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Secure direct contact when compromise is suspected</w:t>
            </w:r>
          </w:p>
        </w:tc>
        <w:tc>
          <w:tcPr>
            <w:tcW w:w="2556" w:type="dxa"/>
            <w:shd w:val="clear" w:color="auto" w:fill="FFFFFF"/>
            <w:vAlign w:val="center"/>
          </w:tcPr>
          <w:p w14:paraId="516E861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Continuity Coordinator / DR Lead</w:t>
            </w:r>
          </w:p>
        </w:tc>
        <w:tc>
          <w:tcPr>
            <w:tcW w:w="2556" w:type="dxa"/>
            <w:shd w:val="clear" w:color="auto" w:fill="FFFFFF"/>
            <w:vAlign w:val="center"/>
          </w:tcPr>
          <w:p w14:paraId="181C283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Preserve evidence and do not speculate publicly.</w:t>
            </w:r>
          </w:p>
        </w:tc>
      </w:tr>
    </w:tbl>
    <w:p w14:paraId="39C54565" w14:textId="77777777" w:rsidR="00C40C09" w:rsidRPr="00154DD5" w:rsidRDefault="00C40C09">
      <w:pPr>
        <w:rPr>
          <w:rFonts w:ascii="Times New Roman" w:hAnsi="Times New Roman" w:cs="Times New Roman"/>
        </w:rPr>
      </w:pPr>
    </w:p>
    <w:p w14:paraId="60040FED"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4.6 Initial learner notice (120–180 words)</w:t>
      </w:r>
    </w:p>
    <w:p w14:paraId="16E3E7F1" w14:textId="77777777" w:rsidR="00C40C09" w:rsidRPr="00154DD5" w:rsidRDefault="00D07DBA">
      <w:pPr>
        <w:rPr>
          <w:rFonts w:ascii="Times New Roman" w:hAnsi="Times New Roman" w:cs="Times New Roman"/>
        </w:rPr>
      </w:pPr>
      <w:r w:rsidRPr="00154DD5">
        <w:rPr>
          <w:rFonts w:ascii="Times New Roman" w:hAnsi="Times New Roman" w:cs="Times New Roman"/>
        </w:rPr>
        <w:t>Northbridge Skills Institute is responding to flooding and a power failure that have made the main site and some local digital services unavailable. Facilities currently estimates that access to the site may be restricted for up to 72 hours. We are activating continuity arrangements and assessing the availability of teaching, assessment, finance, admissions and records services. Learners should check official Institute email or the approved learning channel for updates and should not travel to the main site</w:t>
      </w:r>
      <w:r w:rsidRPr="00154DD5">
        <w:rPr>
          <w:rFonts w:ascii="Times New Roman" w:hAnsi="Times New Roman" w:cs="Times New Roman"/>
        </w:rPr>
        <w:t xml:space="preserve"> until an authorised notice confirms it is safe to do so. Learners scheduled for the 11:00 examination will receive specific instructions about venue, device requirements, timing and any approved alternative arrangements. Please do not share personal records or assessment materials in public channels. If you need accessibility support or cannot access the approved communication channel, contact Learner Services through the published alternative contact route. We will provide another update when arrangements</w:t>
      </w:r>
      <w:r w:rsidRPr="00154DD5">
        <w:rPr>
          <w:rFonts w:ascii="Times New Roman" w:hAnsi="Times New Roman" w:cs="Times New Roman"/>
        </w:rPr>
        <w:t xml:space="preserve"> are confirmed. Thank you for your patience.</w:t>
      </w:r>
    </w:p>
    <w:p w14:paraId="4045D128" w14:textId="77777777" w:rsidR="00C40C09" w:rsidRPr="00154DD5" w:rsidRDefault="00D07DBA">
      <w:pPr>
        <w:rPr>
          <w:rFonts w:ascii="Times New Roman" w:hAnsi="Times New Roman" w:cs="Times New Roman"/>
        </w:rPr>
      </w:pPr>
      <w:r w:rsidRPr="00154DD5">
        <w:rPr>
          <w:rFonts w:ascii="Times New Roman" w:hAnsi="Times New Roman" w:cs="Times New Roman"/>
        </w:rPr>
        <w:t>Possible compromise trigger: flooding alone does not prove a cyber incident. Involve incident response if technicians observe suspicious logons, unexplained changes, failed backup integrity, malware alerts, unauthorised access, unusual outbound transfers or evidence that an account or data was altered. Preserve logs and escalate before wiping or rebuilding affected systems.</w:t>
      </w:r>
    </w:p>
    <w:p w14:paraId="5175C5BF" w14:textId="77777777" w:rsidR="00C40C09" w:rsidRPr="00154DD5" w:rsidRDefault="00D07DBA">
      <w:pPr>
        <w:pStyle w:val="Heading1"/>
        <w:rPr>
          <w:rFonts w:ascii="Times New Roman" w:hAnsi="Times New Roman" w:cs="Times New Roman"/>
        </w:rPr>
      </w:pPr>
      <w:r w:rsidRPr="00154DD5">
        <w:rPr>
          <w:rFonts w:ascii="Times New Roman" w:hAnsi="Times New Roman" w:cs="Times New Roman"/>
        </w:rPr>
        <w:lastRenderedPageBreak/>
        <w:t>Task 5: Recovery Schedule and Exercise</w:t>
      </w:r>
    </w:p>
    <w:p w14:paraId="2E2FFE8A"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5.1 Modelled warm-site schedule</w:t>
      </w:r>
    </w:p>
    <w:p w14:paraId="0244B8EC" w14:textId="77777777" w:rsidR="00C40C09" w:rsidRPr="00154DD5" w:rsidRDefault="00D07DBA">
      <w:pPr>
        <w:rPr>
          <w:rFonts w:ascii="Times New Roman" w:hAnsi="Times New Roman" w:cs="Times New Roman"/>
        </w:rPr>
      </w:pPr>
      <w:r w:rsidRPr="00154DD5">
        <w:rPr>
          <w:rFonts w:ascii="Times New Roman" w:hAnsi="Times New Roman" w:cs="Times New Roman"/>
        </w:rPr>
        <w:t>The following schedule starts at 08:00. Each action uses one technician for its full duration; prerequisites must finish before dependent work begins. Technician 1 handles the shared network, identity, checks and DB01. Technician 2 becomes available for FS01 once AUTH01 and security/backup checks are complete.</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1"/>
        <w:gridCol w:w="2042"/>
        <w:gridCol w:w="2041"/>
        <w:gridCol w:w="2041"/>
        <w:gridCol w:w="2043"/>
      </w:tblGrid>
      <w:tr w:rsidR="00C40C09" w:rsidRPr="00154DD5" w14:paraId="1502985B" w14:textId="77777777">
        <w:trPr>
          <w:jc w:val="center"/>
        </w:trPr>
        <w:tc>
          <w:tcPr>
            <w:tcW w:w="2045" w:type="dxa"/>
            <w:shd w:val="clear" w:color="auto" w:fill="FFFFFF"/>
            <w:vAlign w:val="center"/>
          </w:tcPr>
          <w:p w14:paraId="2176DF7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Action</w:t>
            </w:r>
          </w:p>
        </w:tc>
        <w:tc>
          <w:tcPr>
            <w:tcW w:w="2045" w:type="dxa"/>
            <w:shd w:val="clear" w:color="auto" w:fill="FFFFFF"/>
            <w:vAlign w:val="center"/>
          </w:tcPr>
          <w:p w14:paraId="6867DF1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Technician</w:t>
            </w:r>
          </w:p>
        </w:tc>
        <w:tc>
          <w:tcPr>
            <w:tcW w:w="2045" w:type="dxa"/>
            <w:shd w:val="clear" w:color="auto" w:fill="FFFFFF"/>
            <w:vAlign w:val="center"/>
          </w:tcPr>
          <w:p w14:paraId="73E6D77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Start</w:t>
            </w:r>
          </w:p>
        </w:tc>
        <w:tc>
          <w:tcPr>
            <w:tcW w:w="2045" w:type="dxa"/>
            <w:shd w:val="clear" w:color="auto" w:fill="FFFFFF"/>
            <w:vAlign w:val="center"/>
          </w:tcPr>
          <w:p w14:paraId="79E5B79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Finish</w:t>
            </w:r>
          </w:p>
        </w:tc>
        <w:tc>
          <w:tcPr>
            <w:tcW w:w="2045" w:type="dxa"/>
            <w:shd w:val="clear" w:color="auto" w:fill="FFFFFF"/>
            <w:vAlign w:val="center"/>
          </w:tcPr>
          <w:p w14:paraId="7CC10C5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Prerequisite</w:t>
            </w:r>
          </w:p>
        </w:tc>
      </w:tr>
      <w:tr w:rsidR="00C40C09" w:rsidRPr="00154DD5" w14:paraId="4C8F44D8" w14:textId="77777777">
        <w:trPr>
          <w:jc w:val="center"/>
        </w:trPr>
        <w:tc>
          <w:tcPr>
            <w:tcW w:w="2045" w:type="dxa"/>
            <w:shd w:val="clear" w:color="auto" w:fill="FFFFFF"/>
            <w:vAlign w:val="center"/>
          </w:tcPr>
          <w:p w14:paraId="1F9BAA8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Recovery network (30 min)</w:t>
            </w:r>
          </w:p>
        </w:tc>
        <w:tc>
          <w:tcPr>
            <w:tcW w:w="2045" w:type="dxa"/>
            <w:shd w:val="clear" w:color="auto" w:fill="FFFFFF"/>
            <w:vAlign w:val="center"/>
          </w:tcPr>
          <w:p w14:paraId="31EAFF1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Tech 1</w:t>
            </w:r>
          </w:p>
        </w:tc>
        <w:tc>
          <w:tcPr>
            <w:tcW w:w="2045" w:type="dxa"/>
            <w:shd w:val="clear" w:color="auto" w:fill="FFFFFF"/>
            <w:vAlign w:val="center"/>
          </w:tcPr>
          <w:p w14:paraId="1F484E8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08:00</w:t>
            </w:r>
          </w:p>
        </w:tc>
        <w:tc>
          <w:tcPr>
            <w:tcW w:w="2045" w:type="dxa"/>
            <w:shd w:val="clear" w:color="auto" w:fill="FFFFFF"/>
            <w:vAlign w:val="center"/>
          </w:tcPr>
          <w:p w14:paraId="33FA381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08:30</w:t>
            </w:r>
          </w:p>
        </w:tc>
        <w:tc>
          <w:tcPr>
            <w:tcW w:w="2045" w:type="dxa"/>
            <w:shd w:val="clear" w:color="auto" w:fill="FFFFFF"/>
            <w:vAlign w:val="center"/>
          </w:tcPr>
          <w:p w14:paraId="21476F8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None</w:t>
            </w:r>
          </w:p>
        </w:tc>
      </w:tr>
      <w:tr w:rsidR="00C40C09" w:rsidRPr="00154DD5" w14:paraId="409654CF" w14:textId="77777777">
        <w:trPr>
          <w:jc w:val="center"/>
        </w:trPr>
        <w:tc>
          <w:tcPr>
            <w:tcW w:w="2045" w:type="dxa"/>
            <w:shd w:val="clear" w:color="auto" w:fill="FFFFFF"/>
            <w:vAlign w:val="center"/>
          </w:tcPr>
          <w:p w14:paraId="2F50FD6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AUTH01 restoration (30 min)</w:t>
            </w:r>
          </w:p>
        </w:tc>
        <w:tc>
          <w:tcPr>
            <w:tcW w:w="2045" w:type="dxa"/>
            <w:shd w:val="clear" w:color="auto" w:fill="FFFFFF"/>
            <w:vAlign w:val="center"/>
          </w:tcPr>
          <w:p w14:paraId="5115C6E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Tech 1</w:t>
            </w:r>
          </w:p>
        </w:tc>
        <w:tc>
          <w:tcPr>
            <w:tcW w:w="2045" w:type="dxa"/>
            <w:shd w:val="clear" w:color="auto" w:fill="FFFFFF"/>
            <w:vAlign w:val="center"/>
          </w:tcPr>
          <w:p w14:paraId="4B7BB8F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08:30</w:t>
            </w:r>
          </w:p>
        </w:tc>
        <w:tc>
          <w:tcPr>
            <w:tcW w:w="2045" w:type="dxa"/>
            <w:shd w:val="clear" w:color="auto" w:fill="FFFFFF"/>
            <w:vAlign w:val="center"/>
          </w:tcPr>
          <w:p w14:paraId="6473FF5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09:00</w:t>
            </w:r>
          </w:p>
        </w:tc>
        <w:tc>
          <w:tcPr>
            <w:tcW w:w="2045" w:type="dxa"/>
            <w:shd w:val="clear" w:color="auto" w:fill="FFFFFF"/>
            <w:vAlign w:val="center"/>
          </w:tcPr>
          <w:p w14:paraId="5118D45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Recovery network</w:t>
            </w:r>
          </w:p>
        </w:tc>
      </w:tr>
      <w:tr w:rsidR="00C40C09" w:rsidRPr="00154DD5" w14:paraId="4735541B" w14:textId="77777777">
        <w:trPr>
          <w:jc w:val="center"/>
        </w:trPr>
        <w:tc>
          <w:tcPr>
            <w:tcW w:w="2045" w:type="dxa"/>
            <w:shd w:val="clear" w:color="auto" w:fill="FFFFFF"/>
            <w:vAlign w:val="center"/>
          </w:tcPr>
          <w:p w14:paraId="62406F2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Security and backup checks (30 min)</w:t>
            </w:r>
          </w:p>
        </w:tc>
        <w:tc>
          <w:tcPr>
            <w:tcW w:w="2045" w:type="dxa"/>
            <w:shd w:val="clear" w:color="auto" w:fill="FFFFFF"/>
            <w:vAlign w:val="center"/>
          </w:tcPr>
          <w:p w14:paraId="5CF5F35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Tech 1</w:t>
            </w:r>
          </w:p>
        </w:tc>
        <w:tc>
          <w:tcPr>
            <w:tcW w:w="2045" w:type="dxa"/>
            <w:shd w:val="clear" w:color="auto" w:fill="FFFFFF"/>
            <w:vAlign w:val="center"/>
          </w:tcPr>
          <w:p w14:paraId="6285B40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09:00</w:t>
            </w:r>
          </w:p>
        </w:tc>
        <w:tc>
          <w:tcPr>
            <w:tcW w:w="2045" w:type="dxa"/>
            <w:shd w:val="clear" w:color="auto" w:fill="FFFFFF"/>
            <w:vAlign w:val="center"/>
          </w:tcPr>
          <w:p w14:paraId="3E57BBA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09:30</w:t>
            </w:r>
          </w:p>
        </w:tc>
        <w:tc>
          <w:tcPr>
            <w:tcW w:w="2045" w:type="dxa"/>
            <w:shd w:val="clear" w:color="auto" w:fill="FFFFFF"/>
            <w:vAlign w:val="center"/>
          </w:tcPr>
          <w:p w14:paraId="46C679A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AUTH01 restoration</w:t>
            </w:r>
          </w:p>
        </w:tc>
      </w:tr>
      <w:tr w:rsidR="00C40C09" w:rsidRPr="00154DD5" w14:paraId="111C3732" w14:textId="77777777">
        <w:trPr>
          <w:jc w:val="center"/>
        </w:trPr>
        <w:tc>
          <w:tcPr>
            <w:tcW w:w="2045" w:type="dxa"/>
            <w:shd w:val="clear" w:color="auto" w:fill="FFFFFF"/>
            <w:vAlign w:val="center"/>
          </w:tcPr>
          <w:p w14:paraId="63E86D3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DB01 restoration (90 min)</w:t>
            </w:r>
          </w:p>
        </w:tc>
        <w:tc>
          <w:tcPr>
            <w:tcW w:w="2045" w:type="dxa"/>
            <w:shd w:val="clear" w:color="auto" w:fill="FFFFFF"/>
            <w:vAlign w:val="center"/>
          </w:tcPr>
          <w:p w14:paraId="66B3D0C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Tech 1</w:t>
            </w:r>
          </w:p>
        </w:tc>
        <w:tc>
          <w:tcPr>
            <w:tcW w:w="2045" w:type="dxa"/>
            <w:shd w:val="clear" w:color="auto" w:fill="FFFFFF"/>
            <w:vAlign w:val="center"/>
          </w:tcPr>
          <w:p w14:paraId="1B5CE8F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09:30</w:t>
            </w:r>
          </w:p>
        </w:tc>
        <w:tc>
          <w:tcPr>
            <w:tcW w:w="2045" w:type="dxa"/>
            <w:shd w:val="clear" w:color="auto" w:fill="FFFFFF"/>
            <w:vAlign w:val="center"/>
          </w:tcPr>
          <w:p w14:paraId="5662059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11:00</w:t>
            </w:r>
          </w:p>
        </w:tc>
        <w:tc>
          <w:tcPr>
            <w:tcW w:w="2045" w:type="dxa"/>
            <w:shd w:val="clear" w:color="auto" w:fill="FFFFFF"/>
            <w:vAlign w:val="center"/>
          </w:tcPr>
          <w:p w14:paraId="097CBAF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Security and backup checks</w:t>
            </w:r>
          </w:p>
        </w:tc>
      </w:tr>
      <w:tr w:rsidR="00C40C09" w:rsidRPr="00154DD5" w14:paraId="6AB74601" w14:textId="77777777">
        <w:trPr>
          <w:jc w:val="center"/>
        </w:trPr>
        <w:tc>
          <w:tcPr>
            <w:tcW w:w="2045" w:type="dxa"/>
            <w:shd w:val="clear" w:color="auto" w:fill="FFFFFF"/>
            <w:vAlign w:val="center"/>
          </w:tcPr>
          <w:p w14:paraId="027E40E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FS01 restoration (60 min)</w:t>
            </w:r>
          </w:p>
        </w:tc>
        <w:tc>
          <w:tcPr>
            <w:tcW w:w="2045" w:type="dxa"/>
            <w:shd w:val="clear" w:color="auto" w:fill="FFFFFF"/>
            <w:vAlign w:val="center"/>
          </w:tcPr>
          <w:p w14:paraId="408B7E5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Tech 2</w:t>
            </w:r>
          </w:p>
        </w:tc>
        <w:tc>
          <w:tcPr>
            <w:tcW w:w="2045" w:type="dxa"/>
            <w:shd w:val="clear" w:color="auto" w:fill="FFFFFF"/>
            <w:vAlign w:val="center"/>
          </w:tcPr>
          <w:p w14:paraId="427A5C1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09:30</w:t>
            </w:r>
          </w:p>
        </w:tc>
        <w:tc>
          <w:tcPr>
            <w:tcW w:w="2045" w:type="dxa"/>
            <w:shd w:val="clear" w:color="auto" w:fill="FFFFFF"/>
            <w:vAlign w:val="center"/>
          </w:tcPr>
          <w:p w14:paraId="6B2CE88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10:30</w:t>
            </w:r>
          </w:p>
        </w:tc>
        <w:tc>
          <w:tcPr>
            <w:tcW w:w="2045" w:type="dxa"/>
            <w:shd w:val="clear" w:color="auto" w:fill="FFFFFF"/>
            <w:vAlign w:val="center"/>
          </w:tcPr>
          <w:p w14:paraId="34E25A8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AUTH01 and security/backup checks</w:t>
            </w:r>
          </w:p>
        </w:tc>
      </w:tr>
      <w:tr w:rsidR="00C40C09" w:rsidRPr="00154DD5" w14:paraId="615C0AA6" w14:textId="77777777">
        <w:trPr>
          <w:jc w:val="center"/>
        </w:trPr>
        <w:tc>
          <w:tcPr>
            <w:tcW w:w="2045" w:type="dxa"/>
            <w:shd w:val="clear" w:color="auto" w:fill="FFFFFF"/>
            <w:vAlign w:val="center"/>
          </w:tcPr>
          <w:p w14:paraId="14057C38"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LMS01 restoration (45 min)</w:t>
            </w:r>
          </w:p>
        </w:tc>
        <w:tc>
          <w:tcPr>
            <w:tcW w:w="2045" w:type="dxa"/>
            <w:shd w:val="clear" w:color="auto" w:fill="FFFFFF"/>
            <w:vAlign w:val="center"/>
          </w:tcPr>
          <w:p w14:paraId="317B1A6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Tech 1</w:t>
            </w:r>
          </w:p>
        </w:tc>
        <w:tc>
          <w:tcPr>
            <w:tcW w:w="2045" w:type="dxa"/>
            <w:shd w:val="clear" w:color="auto" w:fill="FFFFFF"/>
            <w:vAlign w:val="center"/>
          </w:tcPr>
          <w:p w14:paraId="5AAFD14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11:00</w:t>
            </w:r>
          </w:p>
        </w:tc>
        <w:tc>
          <w:tcPr>
            <w:tcW w:w="2045" w:type="dxa"/>
            <w:shd w:val="clear" w:color="auto" w:fill="FFFFFF"/>
            <w:vAlign w:val="center"/>
          </w:tcPr>
          <w:p w14:paraId="25FB988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11:45</w:t>
            </w:r>
          </w:p>
        </w:tc>
        <w:tc>
          <w:tcPr>
            <w:tcW w:w="2045" w:type="dxa"/>
            <w:shd w:val="clear" w:color="auto" w:fill="FFFFFF"/>
            <w:vAlign w:val="center"/>
          </w:tcPr>
          <w:p w14:paraId="4017852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DB01 restoration</w:t>
            </w:r>
          </w:p>
        </w:tc>
      </w:tr>
      <w:tr w:rsidR="00C40C09" w:rsidRPr="00154DD5" w14:paraId="7F1C6DFA" w14:textId="77777777">
        <w:trPr>
          <w:jc w:val="center"/>
        </w:trPr>
        <w:tc>
          <w:tcPr>
            <w:tcW w:w="2045" w:type="dxa"/>
            <w:shd w:val="clear" w:color="auto" w:fill="FFFFFF"/>
            <w:vAlign w:val="center"/>
          </w:tcPr>
          <w:p w14:paraId="2311683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FIN01 restoration (30 min)</w:t>
            </w:r>
          </w:p>
        </w:tc>
        <w:tc>
          <w:tcPr>
            <w:tcW w:w="2045" w:type="dxa"/>
            <w:shd w:val="clear" w:color="auto" w:fill="FFFFFF"/>
            <w:vAlign w:val="center"/>
          </w:tcPr>
          <w:p w14:paraId="6DD7944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Tech 2</w:t>
            </w:r>
          </w:p>
        </w:tc>
        <w:tc>
          <w:tcPr>
            <w:tcW w:w="2045" w:type="dxa"/>
            <w:shd w:val="clear" w:color="auto" w:fill="FFFFFF"/>
            <w:vAlign w:val="center"/>
          </w:tcPr>
          <w:p w14:paraId="0260CF5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11:00</w:t>
            </w:r>
          </w:p>
        </w:tc>
        <w:tc>
          <w:tcPr>
            <w:tcW w:w="2045" w:type="dxa"/>
            <w:shd w:val="clear" w:color="auto" w:fill="FFFFFF"/>
            <w:vAlign w:val="center"/>
          </w:tcPr>
          <w:p w14:paraId="56FE611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11:30</w:t>
            </w:r>
          </w:p>
        </w:tc>
        <w:tc>
          <w:tcPr>
            <w:tcW w:w="2045" w:type="dxa"/>
            <w:shd w:val="clear" w:color="auto" w:fill="FFFFFF"/>
            <w:vAlign w:val="center"/>
          </w:tcPr>
          <w:p w14:paraId="77E09E0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DB01 restoration</w:t>
            </w:r>
          </w:p>
        </w:tc>
      </w:tr>
      <w:tr w:rsidR="00C40C09" w:rsidRPr="00154DD5" w14:paraId="6C9DD82F" w14:textId="77777777">
        <w:trPr>
          <w:jc w:val="center"/>
        </w:trPr>
        <w:tc>
          <w:tcPr>
            <w:tcW w:w="2045" w:type="dxa"/>
            <w:shd w:val="clear" w:color="auto" w:fill="FFFFFF"/>
            <w:vAlign w:val="center"/>
          </w:tcPr>
          <w:p w14:paraId="00B4096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REG01 restoration (30 min)</w:t>
            </w:r>
          </w:p>
        </w:tc>
        <w:tc>
          <w:tcPr>
            <w:tcW w:w="2045" w:type="dxa"/>
            <w:shd w:val="clear" w:color="auto" w:fill="FFFFFF"/>
            <w:vAlign w:val="center"/>
          </w:tcPr>
          <w:p w14:paraId="15DA934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Tech 2</w:t>
            </w:r>
          </w:p>
        </w:tc>
        <w:tc>
          <w:tcPr>
            <w:tcW w:w="2045" w:type="dxa"/>
            <w:shd w:val="clear" w:color="auto" w:fill="FFFFFF"/>
            <w:vAlign w:val="center"/>
          </w:tcPr>
          <w:p w14:paraId="7D52091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11:30</w:t>
            </w:r>
          </w:p>
        </w:tc>
        <w:tc>
          <w:tcPr>
            <w:tcW w:w="2045" w:type="dxa"/>
            <w:shd w:val="clear" w:color="auto" w:fill="FFFFFF"/>
            <w:vAlign w:val="center"/>
          </w:tcPr>
          <w:p w14:paraId="4F331F4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12:00</w:t>
            </w:r>
          </w:p>
        </w:tc>
        <w:tc>
          <w:tcPr>
            <w:tcW w:w="2045" w:type="dxa"/>
            <w:shd w:val="clear" w:color="auto" w:fill="FFFFFF"/>
            <w:vAlign w:val="center"/>
          </w:tcPr>
          <w:p w14:paraId="7743519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DB01 restoration</w:t>
            </w:r>
          </w:p>
        </w:tc>
      </w:tr>
      <w:tr w:rsidR="00C40C09" w:rsidRPr="00154DD5" w14:paraId="4F24CFF8" w14:textId="77777777">
        <w:trPr>
          <w:jc w:val="center"/>
        </w:trPr>
        <w:tc>
          <w:tcPr>
            <w:tcW w:w="2045" w:type="dxa"/>
            <w:shd w:val="clear" w:color="auto" w:fill="FFFFFF"/>
            <w:vAlign w:val="center"/>
          </w:tcPr>
          <w:p w14:paraId="7E7B641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HR01 restoration (45 min)</w:t>
            </w:r>
          </w:p>
        </w:tc>
        <w:tc>
          <w:tcPr>
            <w:tcW w:w="2045" w:type="dxa"/>
            <w:shd w:val="clear" w:color="auto" w:fill="FFFFFF"/>
            <w:vAlign w:val="center"/>
          </w:tcPr>
          <w:p w14:paraId="5EBC425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Tech 1</w:t>
            </w:r>
          </w:p>
        </w:tc>
        <w:tc>
          <w:tcPr>
            <w:tcW w:w="2045" w:type="dxa"/>
            <w:shd w:val="clear" w:color="auto" w:fill="FFFFFF"/>
            <w:vAlign w:val="center"/>
          </w:tcPr>
          <w:p w14:paraId="7749D80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11:45</w:t>
            </w:r>
          </w:p>
        </w:tc>
        <w:tc>
          <w:tcPr>
            <w:tcW w:w="2045" w:type="dxa"/>
            <w:shd w:val="clear" w:color="auto" w:fill="FFFFFF"/>
            <w:vAlign w:val="center"/>
          </w:tcPr>
          <w:p w14:paraId="66F2396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12:30</w:t>
            </w:r>
          </w:p>
        </w:tc>
        <w:tc>
          <w:tcPr>
            <w:tcW w:w="2045" w:type="dxa"/>
            <w:shd w:val="clear" w:color="auto" w:fill="FFFFFF"/>
            <w:vAlign w:val="center"/>
          </w:tcPr>
          <w:p w14:paraId="7590CD6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DB01 restoration</w:t>
            </w:r>
          </w:p>
        </w:tc>
      </w:tr>
    </w:tbl>
    <w:p w14:paraId="524B3821" w14:textId="77777777" w:rsidR="00C40C09" w:rsidRPr="00154DD5" w:rsidRDefault="00C40C09">
      <w:pPr>
        <w:rPr>
          <w:rFonts w:ascii="Times New Roman" w:hAnsi="Times New Roman" w:cs="Times New Roman"/>
        </w:rPr>
      </w:pPr>
    </w:p>
    <w:p w14:paraId="2AB53E6E" w14:textId="77777777" w:rsidR="00C40C09" w:rsidRPr="00154DD5" w:rsidRDefault="00D07DBA">
      <w:pPr>
        <w:rPr>
          <w:rFonts w:ascii="Times New Roman" w:hAnsi="Times New Roman" w:cs="Times New Roman"/>
        </w:rPr>
      </w:pPr>
      <w:r w:rsidRPr="00154DD5">
        <w:rPr>
          <w:rFonts w:ascii="Times New Roman" w:hAnsi="Times New Roman" w:cs="Times New Roman"/>
        </w:rPr>
        <w:t xml:space="preserve">Earliest modelled assessment service is 11:45, 3 hours 45 minutes after disruption. The controlling dependency path is recovery network → AUTH01 → security/backup checks → DB01 → LMS01. The earliest completion for all five functions is 12:30, when HR01 finishes; FS01 completes at 10:30. These are baseline model results based on the supplied durations, not proof of live recovery capability. Because the examination is scheduled for 11:00, a continuity workaround must be activated before technical restoration </w:t>
      </w:r>
      <w:r w:rsidRPr="00154DD5">
        <w:rPr>
          <w:rFonts w:ascii="Times New Roman" w:hAnsi="Times New Roman" w:cs="Times New Roman"/>
        </w:rPr>
        <w:t>completes.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3"/>
        <w:gridCol w:w="2041"/>
        <w:gridCol w:w="2041"/>
        <w:gridCol w:w="2041"/>
        <w:gridCol w:w="2042"/>
      </w:tblGrid>
      <w:tr w:rsidR="00C40C09" w:rsidRPr="00154DD5" w14:paraId="3F8A3EC8" w14:textId="77777777">
        <w:trPr>
          <w:jc w:val="center"/>
        </w:trPr>
        <w:tc>
          <w:tcPr>
            <w:tcW w:w="2045" w:type="dxa"/>
            <w:shd w:val="clear" w:color="auto" w:fill="FFFFFF"/>
            <w:vAlign w:val="center"/>
          </w:tcPr>
          <w:p w14:paraId="0628BFC8"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Function</w:t>
            </w:r>
          </w:p>
        </w:tc>
        <w:tc>
          <w:tcPr>
            <w:tcW w:w="2045" w:type="dxa"/>
            <w:shd w:val="clear" w:color="auto" w:fill="FFFFFF"/>
            <w:vAlign w:val="center"/>
          </w:tcPr>
          <w:p w14:paraId="6452098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Modelled finish</w:t>
            </w:r>
          </w:p>
        </w:tc>
        <w:tc>
          <w:tcPr>
            <w:tcW w:w="2045" w:type="dxa"/>
            <w:shd w:val="clear" w:color="auto" w:fill="FFFFFF"/>
            <w:vAlign w:val="center"/>
          </w:tcPr>
          <w:p w14:paraId="3A43C6B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Elapsed from 08:00</w:t>
            </w:r>
          </w:p>
        </w:tc>
        <w:tc>
          <w:tcPr>
            <w:tcW w:w="2045" w:type="dxa"/>
            <w:shd w:val="clear" w:color="auto" w:fill="FFFFFF"/>
            <w:vAlign w:val="center"/>
          </w:tcPr>
          <w:p w14:paraId="552B82C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Compared with proposed target</w:t>
            </w:r>
          </w:p>
        </w:tc>
        <w:tc>
          <w:tcPr>
            <w:tcW w:w="2045" w:type="dxa"/>
            <w:shd w:val="clear" w:color="auto" w:fill="FFFFFF"/>
            <w:vAlign w:val="center"/>
          </w:tcPr>
          <w:p w14:paraId="0144981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Continuity note</w:t>
            </w:r>
          </w:p>
        </w:tc>
      </w:tr>
      <w:tr w:rsidR="00C40C09" w:rsidRPr="00154DD5" w14:paraId="2AF149A6" w14:textId="77777777">
        <w:trPr>
          <w:jc w:val="center"/>
        </w:trPr>
        <w:tc>
          <w:tcPr>
            <w:tcW w:w="2045" w:type="dxa"/>
            <w:shd w:val="clear" w:color="auto" w:fill="FFFFFF"/>
            <w:vAlign w:val="center"/>
          </w:tcPr>
          <w:p w14:paraId="3597558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F1 LMS/assessment</w:t>
            </w:r>
          </w:p>
        </w:tc>
        <w:tc>
          <w:tcPr>
            <w:tcW w:w="2045" w:type="dxa"/>
            <w:shd w:val="clear" w:color="auto" w:fill="FFFFFF"/>
            <w:vAlign w:val="center"/>
          </w:tcPr>
          <w:p w14:paraId="09B7E27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11:45</w:t>
            </w:r>
          </w:p>
        </w:tc>
        <w:tc>
          <w:tcPr>
            <w:tcW w:w="2045" w:type="dxa"/>
            <w:shd w:val="clear" w:color="auto" w:fill="FFFFFF"/>
            <w:vAlign w:val="center"/>
          </w:tcPr>
          <w:p w14:paraId="6E770C2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3h 45m</w:t>
            </w:r>
          </w:p>
        </w:tc>
        <w:tc>
          <w:tcPr>
            <w:tcW w:w="2045" w:type="dxa"/>
            <w:shd w:val="clear" w:color="auto" w:fill="FFFFFF"/>
            <w:vAlign w:val="center"/>
          </w:tcPr>
          <w:p w14:paraId="681AEF3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Within 4h RTO, but after 11:00 exam deadline; below 5h MTD</w:t>
            </w:r>
          </w:p>
        </w:tc>
        <w:tc>
          <w:tcPr>
            <w:tcW w:w="2045" w:type="dxa"/>
            <w:shd w:val="clear" w:color="auto" w:fill="FFFFFF"/>
            <w:vAlign w:val="center"/>
          </w:tcPr>
          <w:p w14:paraId="6C58EFB8"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Approved alternative assessment required at 11:00.</w:t>
            </w:r>
          </w:p>
        </w:tc>
      </w:tr>
      <w:tr w:rsidR="00C40C09" w:rsidRPr="00154DD5" w14:paraId="5CD344E0" w14:textId="77777777">
        <w:trPr>
          <w:jc w:val="center"/>
        </w:trPr>
        <w:tc>
          <w:tcPr>
            <w:tcW w:w="2045" w:type="dxa"/>
            <w:shd w:val="clear" w:color="auto" w:fill="FFFFFF"/>
            <w:vAlign w:val="center"/>
          </w:tcPr>
          <w:p w14:paraId="05A33D0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F2 FIN01</w:t>
            </w:r>
          </w:p>
        </w:tc>
        <w:tc>
          <w:tcPr>
            <w:tcW w:w="2045" w:type="dxa"/>
            <w:shd w:val="clear" w:color="auto" w:fill="FFFFFF"/>
            <w:vAlign w:val="center"/>
          </w:tcPr>
          <w:p w14:paraId="6269C3B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11:30</w:t>
            </w:r>
          </w:p>
        </w:tc>
        <w:tc>
          <w:tcPr>
            <w:tcW w:w="2045" w:type="dxa"/>
            <w:shd w:val="clear" w:color="auto" w:fill="FFFFFF"/>
            <w:vAlign w:val="center"/>
          </w:tcPr>
          <w:p w14:paraId="0E86DCF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3h 30m</w:t>
            </w:r>
          </w:p>
        </w:tc>
        <w:tc>
          <w:tcPr>
            <w:tcW w:w="2045" w:type="dxa"/>
            <w:shd w:val="clear" w:color="auto" w:fill="FFFFFF"/>
            <w:vAlign w:val="center"/>
          </w:tcPr>
          <w:p w14:paraId="66D899A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Within 8h RTO and 12h MTD</w:t>
            </w:r>
          </w:p>
        </w:tc>
        <w:tc>
          <w:tcPr>
            <w:tcW w:w="2045" w:type="dxa"/>
            <w:shd w:val="clear" w:color="auto" w:fill="FFFFFF"/>
            <w:vAlign w:val="center"/>
          </w:tcPr>
          <w:p w14:paraId="1E8B309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Manual transaction register still needs reconciliation.</w:t>
            </w:r>
          </w:p>
        </w:tc>
      </w:tr>
      <w:tr w:rsidR="00C40C09" w:rsidRPr="00154DD5" w14:paraId="2597C794" w14:textId="77777777">
        <w:trPr>
          <w:jc w:val="center"/>
        </w:trPr>
        <w:tc>
          <w:tcPr>
            <w:tcW w:w="2045" w:type="dxa"/>
            <w:shd w:val="clear" w:color="auto" w:fill="FFFFFF"/>
            <w:vAlign w:val="center"/>
          </w:tcPr>
          <w:p w14:paraId="30063E8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F3 REG01</w:t>
            </w:r>
          </w:p>
        </w:tc>
        <w:tc>
          <w:tcPr>
            <w:tcW w:w="2045" w:type="dxa"/>
            <w:shd w:val="clear" w:color="auto" w:fill="FFFFFF"/>
            <w:vAlign w:val="center"/>
          </w:tcPr>
          <w:p w14:paraId="7A99DC9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12:00</w:t>
            </w:r>
          </w:p>
        </w:tc>
        <w:tc>
          <w:tcPr>
            <w:tcW w:w="2045" w:type="dxa"/>
            <w:shd w:val="clear" w:color="auto" w:fill="FFFFFF"/>
            <w:vAlign w:val="center"/>
          </w:tcPr>
          <w:p w14:paraId="7BB0905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4h</w:t>
            </w:r>
          </w:p>
        </w:tc>
        <w:tc>
          <w:tcPr>
            <w:tcW w:w="2045" w:type="dxa"/>
            <w:shd w:val="clear" w:color="auto" w:fill="FFFFFF"/>
            <w:vAlign w:val="center"/>
          </w:tcPr>
          <w:p w14:paraId="3F9EC48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Within 10h RTO and 24h MTD</w:t>
            </w:r>
          </w:p>
        </w:tc>
        <w:tc>
          <w:tcPr>
            <w:tcW w:w="2045" w:type="dxa"/>
            <w:shd w:val="clear" w:color="auto" w:fill="FFFFFF"/>
            <w:vAlign w:val="center"/>
          </w:tcPr>
          <w:p w14:paraId="48E573C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Temporary intake register must be entered and checked.</w:t>
            </w:r>
          </w:p>
        </w:tc>
      </w:tr>
      <w:tr w:rsidR="00C40C09" w:rsidRPr="00154DD5" w14:paraId="262CD4A4" w14:textId="77777777">
        <w:trPr>
          <w:jc w:val="center"/>
        </w:trPr>
        <w:tc>
          <w:tcPr>
            <w:tcW w:w="2045" w:type="dxa"/>
            <w:shd w:val="clear" w:color="auto" w:fill="FFFFFF"/>
            <w:vAlign w:val="center"/>
          </w:tcPr>
          <w:p w14:paraId="4AD03F4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F4 HR01</w:t>
            </w:r>
          </w:p>
        </w:tc>
        <w:tc>
          <w:tcPr>
            <w:tcW w:w="2045" w:type="dxa"/>
            <w:shd w:val="clear" w:color="auto" w:fill="FFFFFF"/>
            <w:vAlign w:val="center"/>
          </w:tcPr>
          <w:p w14:paraId="3218375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12:30</w:t>
            </w:r>
          </w:p>
        </w:tc>
        <w:tc>
          <w:tcPr>
            <w:tcW w:w="2045" w:type="dxa"/>
            <w:shd w:val="clear" w:color="auto" w:fill="FFFFFF"/>
            <w:vAlign w:val="center"/>
          </w:tcPr>
          <w:p w14:paraId="66101FC8"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4h 30m</w:t>
            </w:r>
          </w:p>
        </w:tc>
        <w:tc>
          <w:tcPr>
            <w:tcW w:w="2045" w:type="dxa"/>
            <w:shd w:val="clear" w:color="auto" w:fill="FFFFFF"/>
            <w:vAlign w:val="center"/>
          </w:tcPr>
          <w:p w14:paraId="13A01C5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Within 20h RTO and 36h MTD</w:t>
            </w:r>
          </w:p>
        </w:tc>
        <w:tc>
          <w:tcPr>
            <w:tcW w:w="2045" w:type="dxa"/>
            <w:shd w:val="clear" w:color="auto" w:fill="FFFFFF"/>
            <w:vAlign w:val="center"/>
          </w:tcPr>
          <w:p w14:paraId="006B0F0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Bank deadline is next day; verify payroll before submission.</w:t>
            </w:r>
          </w:p>
        </w:tc>
      </w:tr>
      <w:tr w:rsidR="00C40C09" w:rsidRPr="00154DD5" w14:paraId="0B9C78FD" w14:textId="77777777">
        <w:trPr>
          <w:jc w:val="center"/>
        </w:trPr>
        <w:tc>
          <w:tcPr>
            <w:tcW w:w="2045" w:type="dxa"/>
            <w:shd w:val="clear" w:color="auto" w:fill="FFFFFF"/>
            <w:vAlign w:val="center"/>
          </w:tcPr>
          <w:p w14:paraId="20E6618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F5 FS01</w:t>
            </w:r>
          </w:p>
        </w:tc>
        <w:tc>
          <w:tcPr>
            <w:tcW w:w="2045" w:type="dxa"/>
            <w:shd w:val="clear" w:color="auto" w:fill="FFFFFF"/>
            <w:vAlign w:val="center"/>
          </w:tcPr>
          <w:p w14:paraId="41388E7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10:30</w:t>
            </w:r>
          </w:p>
        </w:tc>
        <w:tc>
          <w:tcPr>
            <w:tcW w:w="2045" w:type="dxa"/>
            <w:shd w:val="clear" w:color="auto" w:fill="FFFFFF"/>
            <w:vAlign w:val="center"/>
          </w:tcPr>
          <w:p w14:paraId="31BE243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2h 30m</w:t>
            </w:r>
          </w:p>
        </w:tc>
        <w:tc>
          <w:tcPr>
            <w:tcW w:w="2045" w:type="dxa"/>
            <w:shd w:val="clear" w:color="auto" w:fill="FFFFFF"/>
            <w:vAlign w:val="center"/>
          </w:tcPr>
          <w:p w14:paraId="66801DF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Within 36h RTO and 48h MTD</w:t>
            </w:r>
          </w:p>
        </w:tc>
        <w:tc>
          <w:tcPr>
            <w:tcW w:w="2045" w:type="dxa"/>
            <w:shd w:val="clear" w:color="auto" w:fill="FFFFFF"/>
            <w:vAlign w:val="center"/>
          </w:tcPr>
          <w:p w14:paraId="5C0A20E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Current backup is 9h old, so confirm missing files and access controls.</w:t>
            </w:r>
          </w:p>
        </w:tc>
      </w:tr>
    </w:tbl>
    <w:p w14:paraId="0CDA3132" w14:textId="77777777" w:rsidR="00C40C09" w:rsidRPr="00154DD5" w:rsidRDefault="00C40C09">
      <w:pPr>
        <w:rPr>
          <w:rFonts w:ascii="Times New Roman" w:hAnsi="Times New Roman" w:cs="Times New Roman"/>
        </w:rPr>
      </w:pPr>
    </w:p>
    <w:p w14:paraId="299DEFE1" w14:textId="77777777" w:rsidR="00C40C09" w:rsidRPr="00154DD5" w:rsidRDefault="00D07DBA">
      <w:pPr>
        <w:rPr>
          <w:rFonts w:ascii="Times New Roman" w:hAnsi="Times New Roman" w:cs="Times New Roman"/>
        </w:rPr>
      </w:pPr>
      <w:r w:rsidRPr="00154DD5">
        <w:rPr>
          <w:rFonts w:ascii="Times New Roman" w:hAnsi="Times New Roman" w:cs="Times New Roman"/>
        </w:rPr>
        <w:t>The DB01 checkpoint at 07:00 is one hour old and can meet a one-hour RPO only if its complete chain validates. AUTH01 and FS01 checkpoints are eight and nine hours old, so their current data points exceed the proposed one-hour and improved four-hour objectives. The model does not account for time needed to discover missing manual entries or for user queues; the service owner must validate these before declaring full recovery.</w:t>
      </w:r>
    </w:p>
    <w:p w14:paraId="2B0864BB"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5.2 Forty-five-minute tabletop exercise</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50"/>
        <w:gridCol w:w="2554"/>
        <w:gridCol w:w="2551"/>
        <w:gridCol w:w="2553"/>
      </w:tblGrid>
      <w:tr w:rsidR="00C40C09" w:rsidRPr="00154DD5" w14:paraId="4DA8B1B9" w14:textId="77777777">
        <w:trPr>
          <w:jc w:val="center"/>
        </w:trPr>
        <w:tc>
          <w:tcPr>
            <w:tcW w:w="2556" w:type="dxa"/>
            <w:shd w:val="clear" w:color="auto" w:fill="FFFFFF"/>
            <w:vAlign w:val="center"/>
          </w:tcPr>
          <w:p w14:paraId="7C0D132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Exercise time / inject</w:t>
            </w:r>
          </w:p>
        </w:tc>
        <w:tc>
          <w:tcPr>
            <w:tcW w:w="2556" w:type="dxa"/>
            <w:shd w:val="clear" w:color="auto" w:fill="FFFFFF"/>
            <w:vAlign w:val="center"/>
          </w:tcPr>
          <w:p w14:paraId="1CA59CD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Decision and revised action</w:t>
            </w:r>
          </w:p>
        </w:tc>
        <w:tc>
          <w:tcPr>
            <w:tcW w:w="2556" w:type="dxa"/>
            <w:shd w:val="clear" w:color="auto" w:fill="FFFFFF"/>
            <w:vAlign w:val="center"/>
          </w:tcPr>
          <w:p w14:paraId="187F72F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Owner and rationale</w:t>
            </w:r>
          </w:p>
        </w:tc>
        <w:tc>
          <w:tcPr>
            <w:tcW w:w="2556" w:type="dxa"/>
            <w:shd w:val="clear" w:color="auto" w:fill="FFFFFF"/>
            <w:vAlign w:val="center"/>
          </w:tcPr>
          <w:p w14:paraId="6C6A862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Effect / evidence to record</w:t>
            </w:r>
          </w:p>
        </w:tc>
      </w:tr>
      <w:tr w:rsidR="00C40C09" w:rsidRPr="00154DD5" w14:paraId="1E843DD9" w14:textId="77777777">
        <w:trPr>
          <w:jc w:val="center"/>
        </w:trPr>
        <w:tc>
          <w:tcPr>
            <w:tcW w:w="2556" w:type="dxa"/>
            <w:shd w:val="clear" w:color="auto" w:fill="FFFFFF"/>
            <w:vAlign w:val="center"/>
          </w:tcPr>
          <w:p w14:paraId="5BB6EB4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Minute 10: closure extends from 72 hours to five days</w:t>
            </w:r>
          </w:p>
        </w:tc>
        <w:tc>
          <w:tcPr>
            <w:tcW w:w="2556" w:type="dxa"/>
            <w:shd w:val="clear" w:color="auto" w:fill="FFFFFF"/>
            <w:vAlign w:val="center"/>
          </w:tcPr>
          <w:p w14:paraId="136D2AA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 xml:space="preserve">Extend continuity arrangements beyond three days, confirm </w:t>
            </w:r>
            <w:r w:rsidRPr="00154DD5">
              <w:rPr>
                <w:rFonts w:ascii="Times New Roman" w:hAnsi="Times New Roman" w:cs="Times New Roman"/>
                <w:sz w:val="17"/>
              </w:rPr>
              <w:lastRenderedPageBreak/>
              <w:t>staffing shifts, food/transport/accessibility and alternate venue capacity; inform executives and suppliers.</w:t>
            </w:r>
          </w:p>
        </w:tc>
        <w:tc>
          <w:tcPr>
            <w:tcW w:w="2556" w:type="dxa"/>
            <w:shd w:val="clear" w:color="auto" w:fill="FFFFFF"/>
            <w:vAlign w:val="center"/>
          </w:tcPr>
          <w:p w14:paraId="5E095DE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lastRenderedPageBreak/>
              <w:t xml:space="preserve">Continuity Coordinator; longer closure increases fatigue, cost and </w:t>
            </w:r>
            <w:r w:rsidRPr="00154DD5">
              <w:rPr>
                <w:rFonts w:ascii="Times New Roman" w:hAnsi="Times New Roman" w:cs="Times New Roman"/>
                <w:sz w:val="17"/>
              </w:rPr>
              <w:lastRenderedPageBreak/>
              <w:t>service backlog.</w:t>
            </w:r>
          </w:p>
        </w:tc>
        <w:tc>
          <w:tcPr>
            <w:tcW w:w="2556" w:type="dxa"/>
            <w:shd w:val="clear" w:color="auto" w:fill="FFFFFF"/>
            <w:vAlign w:val="center"/>
          </w:tcPr>
          <w:p w14:paraId="2863FA4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lastRenderedPageBreak/>
              <w:t xml:space="preserve">Updated situation report, roster, cost forecast and venue </w:t>
            </w:r>
            <w:r w:rsidRPr="00154DD5">
              <w:rPr>
                <w:rFonts w:ascii="Times New Roman" w:hAnsi="Times New Roman" w:cs="Times New Roman"/>
                <w:sz w:val="17"/>
              </w:rPr>
              <w:lastRenderedPageBreak/>
              <w:t>confirmation.</w:t>
            </w:r>
          </w:p>
        </w:tc>
      </w:tr>
      <w:tr w:rsidR="00C40C09" w:rsidRPr="00154DD5" w14:paraId="63BEA9D8" w14:textId="77777777">
        <w:trPr>
          <w:jc w:val="center"/>
        </w:trPr>
        <w:tc>
          <w:tcPr>
            <w:tcW w:w="2556" w:type="dxa"/>
            <w:shd w:val="clear" w:color="auto" w:fill="FFFFFF"/>
            <w:vAlign w:val="center"/>
          </w:tcPr>
          <w:p w14:paraId="5245641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lastRenderedPageBreak/>
              <w:t>Minute 20: alternate facility has only 15 working workstations</w:t>
            </w:r>
          </w:p>
        </w:tc>
        <w:tc>
          <w:tcPr>
            <w:tcW w:w="2556" w:type="dxa"/>
            <w:shd w:val="clear" w:color="auto" w:fill="FFFFFF"/>
            <w:vAlign w:val="center"/>
          </w:tcPr>
          <w:p w14:paraId="4B1D409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Re-plan the 40 centre-dependent learners using approved staggered sittings, another verified venue or loan devices; preserve equivalent assessment conditions.</w:t>
            </w:r>
          </w:p>
        </w:tc>
        <w:tc>
          <w:tcPr>
            <w:tcW w:w="2556" w:type="dxa"/>
            <w:shd w:val="clear" w:color="auto" w:fill="FFFFFF"/>
            <w:vAlign w:val="center"/>
          </w:tcPr>
          <w:p w14:paraId="3C4394D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Academic Lead accountable, with Continuity Coordinator; do not assume 25 workstations remain available.</w:t>
            </w:r>
          </w:p>
        </w:tc>
        <w:tc>
          <w:tcPr>
            <w:tcW w:w="2556" w:type="dxa"/>
            <w:shd w:val="clear" w:color="auto" w:fill="FFFFFF"/>
            <w:vAlign w:val="center"/>
          </w:tcPr>
          <w:p w14:paraId="07B271A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Approved exam decision, learner list, invigilation plan and accessibility checks.</w:t>
            </w:r>
          </w:p>
        </w:tc>
      </w:tr>
      <w:tr w:rsidR="00C40C09" w:rsidRPr="00154DD5" w14:paraId="7B2F4DD6" w14:textId="77777777">
        <w:trPr>
          <w:jc w:val="center"/>
        </w:trPr>
        <w:tc>
          <w:tcPr>
            <w:tcW w:w="2556" w:type="dxa"/>
            <w:shd w:val="clear" w:color="auto" w:fill="FFFFFF"/>
            <w:vAlign w:val="center"/>
          </w:tcPr>
          <w:p w14:paraId="2486BAA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Minute 30: DB01 incremental fails integrity; unexpected backup admin logon</w:t>
            </w:r>
          </w:p>
        </w:tc>
        <w:tc>
          <w:tcPr>
            <w:tcW w:w="2556" w:type="dxa"/>
            <w:shd w:val="clear" w:color="auto" w:fill="FFFFFF"/>
            <w:vAlign w:val="center"/>
          </w:tcPr>
          <w:p w14:paraId="5FB47EA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Stop DB01 restore from that chain, preserve logs, investigate the logon, isolate backup management access and choose the latest complete verified chain. Recalculate RPO and inform owners.</w:t>
            </w:r>
          </w:p>
        </w:tc>
        <w:tc>
          <w:tcPr>
            <w:tcW w:w="2556" w:type="dxa"/>
            <w:shd w:val="clear" w:color="auto" w:fill="FFFFFF"/>
            <w:vAlign w:val="center"/>
          </w:tcPr>
          <w:p w14:paraId="2A6C880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DR Lead with incident response; a failed incremental breaks the claimed 07:00 recovery point.</w:t>
            </w:r>
          </w:p>
        </w:tc>
        <w:tc>
          <w:tcPr>
            <w:tcW w:w="2556" w:type="dxa"/>
            <w:shd w:val="clear" w:color="auto" w:fill="FFFFFF"/>
            <w:vAlign w:val="center"/>
          </w:tcPr>
          <w:p w14:paraId="20ABD5A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Evidence record, chain validation results, new recovery estimate and accepted data-loss decision.</w:t>
            </w:r>
          </w:p>
        </w:tc>
      </w:tr>
      <w:tr w:rsidR="00C40C09" w:rsidRPr="00154DD5" w14:paraId="350EC704" w14:textId="77777777">
        <w:trPr>
          <w:jc w:val="center"/>
        </w:trPr>
        <w:tc>
          <w:tcPr>
            <w:tcW w:w="2556" w:type="dxa"/>
            <w:shd w:val="clear" w:color="auto" w:fill="FFFFFF"/>
            <w:vAlign w:val="center"/>
          </w:tcPr>
          <w:p w14:paraId="60CA0E7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Minute 40: provider reports successful payments missing from restored finance records</w:t>
            </w:r>
          </w:p>
        </w:tc>
        <w:tc>
          <w:tcPr>
            <w:tcW w:w="2556" w:type="dxa"/>
            <w:shd w:val="clear" w:color="auto" w:fill="FFFFFF"/>
            <w:vAlign w:val="center"/>
          </w:tcPr>
          <w:p w14:paraId="4299D1A8"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Pause final fee confirmation for affected transactions, export provider records securely, compare transaction IDs and timestamps, have two people reconcile and approve corrections.</w:t>
            </w:r>
          </w:p>
        </w:tc>
        <w:tc>
          <w:tcPr>
            <w:tcW w:w="2556" w:type="dxa"/>
            <w:shd w:val="clear" w:color="auto" w:fill="FFFFFF"/>
            <w:vAlign w:val="center"/>
          </w:tcPr>
          <w:p w14:paraId="220CFF7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Finance Manager; provider records may identify missing transactions but must not be blindly bulk-imported.</w:t>
            </w:r>
          </w:p>
        </w:tc>
        <w:tc>
          <w:tcPr>
            <w:tcW w:w="2556" w:type="dxa"/>
            <w:shd w:val="clear" w:color="auto" w:fill="FFFFFF"/>
            <w:vAlign w:val="center"/>
          </w:tcPr>
          <w:p w14:paraId="67B20FA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Reconciliation spreadsheet/register, duplicate checks, approval and exception list.</w:t>
            </w:r>
          </w:p>
        </w:tc>
      </w:tr>
    </w:tbl>
    <w:p w14:paraId="12F5C663" w14:textId="77777777" w:rsidR="00C40C09" w:rsidRPr="00154DD5" w:rsidRDefault="00C40C09">
      <w:pPr>
        <w:rPr>
          <w:rFonts w:ascii="Times New Roman" w:hAnsi="Times New Roman" w:cs="Times New Roman"/>
        </w:rPr>
      </w:pPr>
    </w:p>
    <w:p w14:paraId="79C886F3"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5.3 Corrective actions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0"/>
        <w:gridCol w:w="2042"/>
        <w:gridCol w:w="2044"/>
        <w:gridCol w:w="2040"/>
        <w:gridCol w:w="2042"/>
      </w:tblGrid>
      <w:tr w:rsidR="00C40C09" w:rsidRPr="00154DD5" w14:paraId="178FB9A0" w14:textId="77777777">
        <w:trPr>
          <w:jc w:val="center"/>
        </w:trPr>
        <w:tc>
          <w:tcPr>
            <w:tcW w:w="2045" w:type="dxa"/>
            <w:shd w:val="clear" w:color="auto" w:fill="FFFFFF"/>
            <w:vAlign w:val="center"/>
          </w:tcPr>
          <w:p w14:paraId="1CEE00F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Priority</w:t>
            </w:r>
          </w:p>
        </w:tc>
        <w:tc>
          <w:tcPr>
            <w:tcW w:w="2045" w:type="dxa"/>
            <w:shd w:val="clear" w:color="auto" w:fill="FFFFFF"/>
            <w:vAlign w:val="center"/>
          </w:tcPr>
          <w:p w14:paraId="71A7610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Action</w:t>
            </w:r>
          </w:p>
        </w:tc>
        <w:tc>
          <w:tcPr>
            <w:tcW w:w="2045" w:type="dxa"/>
            <w:shd w:val="clear" w:color="auto" w:fill="FFFFFF"/>
            <w:vAlign w:val="center"/>
          </w:tcPr>
          <w:p w14:paraId="3D4292A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Owner</w:t>
            </w:r>
          </w:p>
        </w:tc>
        <w:tc>
          <w:tcPr>
            <w:tcW w:w="2045" w:type="dxa"/>
            <w:shd w:val="clear" w:color="auto" w:fill="FFFFFF"/>
            <w:vAlign w:val="center"/>
          </w:tcPr>
          <w:p w14:paraId="3E00D83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Target</w:t>
            </w:r>
          </w:p>
        </w:tc>
        <w:tc>
          <w:tcPr>
            <w:tcW w:w="2045" w:type="dxa"/>
            <w:shd w:val="clear" w:color="auto" w:fill="FFFFFF"/>
            <w:vAlign w:val="center"/>
          </w:tcPr>
          <w:p w14:paraId="4173EE7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Measurable completion evidence</w:t>
            </w:r>
          </w:p>
        </w:tc>
      </w:tr>
      <w:tr w:rsidR="00C40C09" w:rsidRPr="00154DD5" w14:paraId="426F39B7" w14:textId="77777777">
        <w:trPr>
          <w:jc w:val="center"/>
        </w:trPr>
        <w:tc>
          <w:tcPr>
            <w:tcW w:w="2045" w:type="dxa"/>
            <w:shd w:val="clear" w:color="auto" w:fill="FFFFFF"/>
            <w:vAlign w:val="center"/>
          </w:tcPr>
          <w:p w14:paraId="7FD0EEA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P1</w:t>
            </w:r>
          </w:p>
        </w:tc>
        <w:tc>
          <w:tcPr>
            <w:tcW w:w="2045" w:type="dxa"/>
            <w:shd w:val="clear" w:color="auto" w:fill="FFFFFF"/>
            <w:vAlign w:val="center"/>
          </w:tcPr>
          <w:p w14:paraId="0D60CAC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Separate production and backup admin identities; enable MFA and alerting.</w:t>
            </w:r>
          </w:p>
        </w:tc>
        <w:tc>
          <w:tcPr>
            <w:tcW w:w="2045" w:type="dxa"/>
            <w:shd w:val="clear" w:color="auto" w:fill="FFFFFF"/>
            <w:vAlign w:val="center"/>
          </w:tcPr>
          <w:p w14:paraId="5550C24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IT Security / DR Lead</w:t>
            </w:r>
          </w:p>
        </w:tc>
        <w:tc>
          <w:tcPr>
            <w:tcW w:w="2045" w:type="dxa"/>
            <w:shd w:val="clear" w:color="auto" w:fill="FFFFFF"/>
            <w:vAlign w:val="center"/>
          </w:tcPr>
          <w:p w14:paraId="1639492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30 days</w:t>
            </w:r>
          </w:p>
        </w:tc>
        <w:tc>
          <w:tcPr>
            <w:tcW w:w="2045" w:type="dxa"/>
            <w:shd w:val="clear" w:color="auto" w:fill="FFFFFF"/>
            <w:vAlign w:val="center"/>
          </w:tcPr>
          <w:p w14:paraId="2EB720B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Access review signed; test alert generated for unauthorised logon.</w:t>
            </w:r>
          </w:p>
        </w:tc>
      </w:tr>
      <w:tr w:rsidR="00C40C09" w:rsidRPr="00154DD5" w14:paraId="619B923D" w14:textId="77777777">
        <w:trPr>
          <w:jc w:val="center"/>
        </w:trPr>
        <w:tc>
          <w:tcPr>
            <w:tcW w:w="2045" w:type="dxa"/>
            <w:shd w:val="clear" w:color="auto" w:fill="FFFFFF"/>
            <w:vAlign w:val="center"/>
          </w:tcPr>
          <w:p w14:paraId="4005F98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P1</w:t>
            </w:r>
          </w:p>
        </w:tc>
        <w:tc>
          <w:tcPr>
            <w:tcW w:w="2045" w:type="dxa"/>
            <w:shd w:val="clear" w:color="auto" w:fill="FFFFFF"/>
            <w:vAlign w:val="center"/>
          </w:tcPr>
          <w:p w14:paraId="40424D9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Automate validation of DB01 incremental chains and document fallback selection.</w:t>
            </w:r>
          </w:p>
        </w:tc>
        <w:tc>
          <w:tcPr>
            <w:tcW w:w="2045" w:type="dxa"/>
            <w:shd w:val="clear" w:color="auto" w:fill="FFFFFF"/>
            <w:vAlign w:val="center"/>
          </w:tcPr>
          <w:p w14:paraId="4AA67CE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DR Lead</w:t>
            </w:r>
          </w:p>
        </w:tc>
        <w:tc>
          <w:tcPr>
            <w:tcW w:w="2045" w:type="dxa"/>
            <w:shd w:val="clear" w:color="auto" w:fill="FFFFFF"/>
            <w:vAlign w:val="center"/>
          </w:tcPr>
          <w:p w14:paraId="7011AF5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30 days</w:t>
            </w:r>
          </w:p>
        </w:tc>
        <w:tc>
          <w:tcPr>
            <w:tcW w:w="2045" w:type="dxa"/>
            <w:shd w:val="clear" w:color="auto" w:fill="FFFFFF"/>
            <w:vAlign w:val="center"/>
          </w:tcPr>
          <w:p w14:paraId="718049C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Successful restore drill with chain report and recorded RPO.</w:t>
            </w:r>
          </w:p>
        </w:tc>
      </w:tr>
      <w:tr w:rsidR="00C40C09" w:rsidRPr="00154DD5" w14:paraId="4C037FA6" w14:textId="77777777">
        <w:trPr>
          <w:jc w:val="center"/>
        </w:trPr>
        <w:tc>
          <w:tcPr>
            <w:tcW w:w="2045" w:type="dxa"/>
            <w:shd w:val="clear" w:color="auto" w:fill="FFFFFF"/>
            <w:vAlign w:val="center"/>
          </w:tcPr>
          <w:p w14:paraId="28460F7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P1</w:t>
            </w:r>
          </w:p>
        </w:tc>
        <w:tc>
          <w:tcPr>
            <w:tcW w:w="2045" w:type="dxa"/>
            <w:shd w:val="clear" w:color="auto" w:fill="FFFFFF"/>
            <w:vAlign w:val="center"/>
          </w:tcPr>
          <w:p w14:paraId="22CD2CB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Approve exam continuity procedure for limited workstation capacity.</w:t>
            </w:r>
          </w:p>
        </w:tc>
        <w:tc>
          <w:tcPr>
            <w:tcW w:w="2045" w:type="dxa"/>
            <w:shd w:val="clear" w:color="auto" w:fill="FFFFFF"/>
            <w:vAlign w:val="center"/>
          </w:tcPr>
          <w:p w14:paraId="343A31F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Academic Lead</w:t>
            </w:r>
          </w:p>
        </w:tc>
        <w:tc>
          <w:tcPr>
            <w:tcW w:w="2045" w:type="dxa"/>
            <w:shd w:val="clear" w:color="auto" w:fill="FFFFFF"/>
            <w:vAlign w:val="center"/>
          </w:tcPr>
          <w:p w14:paraId="379AB7E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14 days</w:t>
            </w:r>
          </w:p>
        </w:tc>
        <w:tc>
          <w:tcPr>
            <w:tcW w:w="2045" w:type="dxa"/>
            <w:shd w:val="clear" w:color="auto" w:fill="FFFFFF"/>
            <w:vAlign w:val="center"/>
          </w:tcPr>
          <w:p w14:paraId="458CF79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Tabletop or live test demonstrates a documented plan for all 120 learners.</w:t>
            </w:r>
          </w:p>
        </w:tc>
      </w:tr>
      <w:tr w:rsidR="00C40C09" w:rsidRPr="00154DD5" w14:paraId="7A3EBF13" w14:textId="77777777">
        <w:trPr>
          <w:jc w:val="center"/>
        </w:trPr>
        <w:tc>
          <w:tcPr>
            <w:tcW w:w="2045" w:type="dxa"/>
            <w:shd w:val="clear" w:color="auto" w:fill="FFFFFF"/>
            <w:vAlign w:val="center"/>
          </w:tcPr>
          <w:p w14:paraId="3D44DFB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P2</w:t>
            </w:r>
          </w:p>
        </w:tc>
        <w:tc>
          <w:tcPr>
            <w:tcW w:w="2045" w:type="dxa"/>
            <w:shd w:val="clear" w:color="auto" w:fill="FFFFFF"/>
            <w:vAlign w:val="center"/>
          </w:tcPr>
          <w:p w14:paraId="164661B8"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Increase AUTH01 and FS01 backup frequency to align with accepted RPOs.</w:t>
            </w:r>
          </w:p>
        </w:tc>
        <w:tc>
          <w:tcPr>
            <w:tcW w:w="2045" w:type="dxa"/>
            <w:shd w:val="clear" w:color="auto" w:fill="FFFFFF"/>
            <w:vAlign w:val="center"/>
          </w:tcPr>
          <w:p w14:paraId="251F903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Infrastructure Lead</w:t>
            </w:r>
          </w:p>
        </w:tc>
        <w:tc>
          <w:tcPr>
            <w:tcW w:w="2045" w:type="dxa"/>
            <w:shd w:val="clear" w:color="auto" w:fill="FFFFFF"/>
            <w:vAlign w:val="center"/>
          </w:tcPr>
          <w:p w14:paraId="46EC1C3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45 days</w:t>
            </w:r>
          </w:p>
        </w:tc>
        <w:tc>
          <w:tcPr>
            <w:tcW w:w="2045" w:type="dxa"/>
            <w:shd w:val="clear" w:color="auto" w:fill="FFFFFF"/>
            <w:vAlign w:val="center"/>
          </w:tcPr>
          <w:p w14:paraId="6B035773"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Backup schedule and restore test demonstrate targets.</w:t>
            </w:r>
          </w:p>
        </w:tc>
      </w:tr>
      <w:tr w:rsidR="00C40C09" w:rsidRPr="00154DD5" w14:paraId="06CE5CDC" w14:textId="77777777">
        <w:trPr>
          <w:jc w:val="center"/>
        </w:trPr>
        <w:tc>
          <w:tcPr>
            <w:tcW w:w="2045" w:type="dxa"/>
            <w:shd w:val="clear" w:color="auto" w:fill="FFFFFF"/>
            <w:vAlign w:val="center"/>
          </w:tcPr>
          <w:p w14:paraId="5435361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P2</w:t>
            </w:r>
          </w:p>
        </w:tc>
        <w:tc>
          <w:tcPr>
            <w:tcW w:w="2045" w:type="dxa"/>
            <w:shd w:val="clear" w:color="auto" w:fill="FFFFFF"/>
            <w:vAlign w:val="center"/>
          </w:tcPr>
          <w:p w14:paraId="1869B3E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Create controlled reconciliation templates for finance, admissions and payroll.</w:t>
            </w:r>
          </w:p>
        </w:tc>
        <w:tc>
          <w:tcPr>
            <w:tcW w:w="2045" w:type="dxa"/>
            <w:shd w:val="clear" w:color="auto" w:fill="FFFFFF"/>
            <w:vAlign w:val="center"/>
          </w:tcPr>
          <w:p w14:paraId="2A2775B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Finance/Admissions/HR Leads</w:t>
            </w:r>
          </w:p>
        </w:tc>
        <w:tc>
          <w:tcPr>
            <w:tcW w:w="2045" w:type="dxa"/>
            <w:shd w:val="clear" w:color="auto" w:fill="FFFFFF"/>
            <w:vAlign w:val="center"/>
          </w:tcPr>
          <w:p w14:paraId="46DAD9C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30 days</w:t>
            </w:r>
          </w:p>
        </w:tc>
        <w:tc>
          <w:tcPr>
            <w:tcW w:w="2045" w:type="dxa"/>
            <w:shd w:val="clear" w:color="auto" w:fill="FFFFFF"/>
            <w:vAlign w:val="center"/>
          </w:tcPr>
          <w:p w14:paraId="54E2406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Sample reconciliation completed with dual approval and no duplicate posting.</w:t>
            </w:r>
          </w:p>
        </w:tc>
      </w:tr>
      <w:tr w:rsidR="00C40C09" w:rsidRPr="00154DD5" w14:paraId="799CC406" w14:textId="77777777">
        <w:trPr>
          <w:jc w:val="center"/>
        </w:trPr>
        <w:tc>
          <w:tcPr>
            <w:tcW w:w="2045" w:type="dxa"/>
            <w:shd w:val="clear" w:color="auto" w:fill="FFFFFF"/>
            <w:vAlign w:val="center"/>
          </w:tcPr>
          <w:p w14:paraId="35CD0D6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P2</w:t>
            </w:r>
          </w:p>
        </w:tc>
        <w:tc>
          <w:tcPr>
            <w:tcW w:w="2045" w:type="dxa"/>
            <w:shd w:val="clear" w:color="auto" w:fill="FFFFFF"/>
            <w:vAlign w:val="center"/>
          </w:tcPr>
          <w:p w14:paraId="168926E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Validate warm-site recovery timings with both technicians and business owners.</w:t>
            </w:r>
          </w:p>
        </w:tc>
        <w:tc>
          <w:tcPr>
            <w:tcW w:w="2045" w:type="dxa"/>
            <w:shd w:val="clear" w:color="auto" w:fill="FFFFFF"/>
            <w:vAlign w:val="center"/>
          </w:tcPr>
          <w:p w14:paraId="26A7368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Continuity Coordinator</w:t>
            </w:r>
          </w:p>
        </w:tc>
        <w:tc>
          <w:tcPr>
            <w:tcW w:w="2045" w:type="dxa"/>
            <w:shd w:val="clear" w:color="auto" w:fill="FFFFFF"/>
            <w:vAlign w:val="center"/>
          </w:tcPr>
          <w:p w14:paraId="77E2B59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60 days</w:t>
            </w:r>
          </w:p>
        </w:tc>
        <w:tc>
          <w:tcPr>
            <w:tcW w:w="2045" w:type="dxa"/>
            <w:shd w:val="clear" w:color="auto" w:fill="FFFFFF"/>
            <w:vAlign w:val="center"/>
          </w:tcPr>
          <w:p w14:paraId="4F5E8EE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Observed exercise record, timing variance and corrective plan approved.</w:t>
            </w:r>
          </w:p>
        </w:tc>
      </w:tr>
    </w:tbl>
    <w:p w14:paraId="0E191C69" w14:textId="77777777" w:rsidR="00C40C09" w:rsidRPr="00154DD5" w:rsidRDefault="00C40C09">
      <w:pPr>
        <w:rPr>
          <w:rFonts w:ascii="Times New Roman" w:hAnsi="Times New Roman" w:cs="Times New Roman"/>
        </w:rPr>
      </w:pPr>
    </w:p>
    <w:p w14:paraId="74638FEE" w14:textId="77777777" w:rsidR="00C40C09" w:rsidRPr="00154DD5" w:rsidRDefault="00D07DBA">
      <w:pPr>
        <w:pStyle w:val="Heading1"/>
        <w:rPr>
          <w:rFonts w:ascii="Times New Roman" w:hAnsi="Times New Roman" w:cs="Times New Roman"/>
        </w:rPr>
      </w:pPr>
      <w:r w:rsidRPr="00154DD5">
        <w:rPr>
          <w:rFonts w:ascii="Times New Roman" w:hAnsi="Times New Roman" w:cs="Times New Roman"/>
        </w:rPr>
        <w:t>Task 6: Governance and Performance Measures</w:t>
      </w:r>
    </w:p>
    <w:p w14:paraId="2A95889C"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6.1 Ownership, testing and framework alignment</w:t>
      </w:r>
    </w:p>
    <w:p w14:paraId="45A698EC" w14:textId="77777777" w:rsidR="00C40C09" w:rsidRPr="00154DD5" w:rsidRDefault="00D07DBA">
      <w:pPr>
        <w:rPr>
          <w:rFonts w:ascii="Times New Roman" w:hAnsi="Times New Roman" w:cs="Times New Roman"/>
        </w:rPr>
      </w:pPr>
      <w:r w:rsidRPr="00154DD5">
        <w:rPr>
          <w:rFonts w:ascii="Times New Roman" w:hAnsi="Times New Roman" w:cs="Times New Roman"/>
        </w:rPr>
        <w:t>The Continuity Coordinator owns this plan and maintains the contact list, service priorities, alternate-site arrangements and exercise records. The Director/Principal approves the plan, material risk acceptance and return to the primary site. The plan should be reviewed annually and after a significant incident, site change, new critical system, supplier change, failed recovery test, change in legal obligations or a material change to learner numbers and examination arrangements. Controlled copies should be</w:t>
      </w:r>
      <w:r w:rsidRPr="00154DD5">
        <w:rPr>
          <w:rFonts w:ascii="Times New Roman" w:hAnsi="Times New Roman" w:cs="Times New Roman"/>
        </w:rPr>
        <w:t xml:space="preserve"> versioned, dated, access-restricted and distributed to role holders, with a separate offline copy available during an outage.</w:t>
      </w:r>
    </w:p>
    <w:p w14:paraId="23455DD1" w14:textId="77777777" w:rsidR="00C40C09" w:rsidRPr="00154DD5" w:rsidRDefault="00D07DBA">
      <w:pPr>
        <w:rPr>
          <w:rFonts w:ascii="Times New Roman" w:hAnsi="Times New Roman" w:cs="Times New Roman"/>
        </w:rPr>
      </w:pPr>
      <w:r w:rsidRPr="00154DD5">
        <w:rPr>
          <w:rFonts w:ascii="Times New Roman" w:hAnsi="Times New Roman" w:cs="Times New Roman"/>
        </w:rPr>
        <w:lastRenderedPageBreak/>
        <w:t>Proposed risk-based calendar: quarterly contact-tree and backup-access checks; quarterly sample restore for critical datasets; twice-yearly technical recovery test; annual end-to-end continuity exercise involving the examination, finance and admissions teams; and a post-change test after major infrastructure or supplier changes. New staff should receive role-specific continuity guidance, and key role holders should complete annual refresher training.</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403"/>
        <w:gridCol w:w="3402"/>
        <w:gridCol w:w="3403"/>
      </w:tblGrid>
      <w:tr w:rsidR="00C40C09" w:rsidRPr="00154DD5" w14:paraId="3CE12842" w14:textId="77777777">
        <w:trPr>
          <w:jc w:val="center"/>
        </w:trPr>
        <w:tc>
          <w:tcPr>
            <w:tcW w:w="3408" w:type="dxa"/>
            <w:shd w:val="clear" w:color="auto" w:fill="FFFFFF"/>
            <w:vAlign w:val="center"/>
          </w:tcPr>
          <w:p w14:paraId="372CEAB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Assignment output</w:t>
            </w:r>
          </w:p>
        </w:tc>
        <w:tc>
          <w:tcPr>
            <w:tcW w:w="3408" w:type="dxa"/>
            <w:shd w:val="clear" w:color="auto" w:fill="FFFFFF"/>
            <w:vAlign w:val="center"/>
          </w:tcPr>
          <w:p w14:paraId="5135A63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NIST SP 800-34 planning alignment (high-level)</w:t>
            </w:r>
          </w:p>
        </w:tc>
        <w:tc>
          <w:tcPr>
            <w:tcW w:w="3408" w:type="dxa"/>
            <w:shd w:val="clear" w:color="auto" w:fill="FFFFFF"/>
            <w:vAlign w:val="center"/>
          </w:tcPr>
          <w:p w14:paraId="1236016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ISO 22301 theme (high-level)</w:t>
            </w:r>
          </w:p>
        </w:tc>
      </w:tr>
      <w:tr w:rsidR="00C40C09" w:rsidRPr="00154DD5" w14:paraId="3BF439CA" w14:textId="77777777">
        <w:trPr>
          <w:jc w:val="center"/>
        </w:trPr>
        <w:tc>
          <w:tcPr>
            <w:tcW w:w="3408" w:type="dxa"/>
            <w:shd w:val="clear" w:color="auto" w:fill="FFFFFF"/>
            <w:vAlign w:val="center"/>
          </w:tcPr>
          <w:p w14:paraId="24D2434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BIA, function priorities and impact estimates</w:t>
            </w:r>
          </w:p>
        </w:tc>
        <w:tc>
          <w:tcPr>
            <w:tcW w:w="3408" w:type="dxa"/>
            <w:shd w:val="clear" w:color="auto" w:fill="FFFFFF"/>
            <w:vAlign w:val="center"/>
          </w:tcPr>
          <w:p w14:paraId="316B78F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Business impact analysis and prioritisation of information systems</w:t>
            </w:r>
          </w:p>
        </w:tc>
        <w:tc>
          <w:tcPr>
            <w:tcW w:w="3408" w:type="dxa"/>
            <w:shd w:val="clear" w:color="auto" w:fill="FFFFFF"/>
            <w:vAlign w:val="center"/>
          </w:tcPr>
          <w:p w14:paraId="030D9AB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Impact analysis and continuity strategy</w:t>
            </w:r>
          </w:p>
        </w:tc>
      </w:tr>
      <w:tr w:rsidR="00C40C09" w:rsidRPr="00154DD5" w14:paraId="6A976B99" w14:textId="77777777">
        <w:trPr>
          <w:jc w:val="center"/>
        </w:trPr>
        <w:tc>
          <w:tcPr>
            <w:tcW w:w="3408" w:type="dxa"/>
            <w:shd w:val="clear" w:color="auto" w:fill="FFFFFF"/>
            <w:vAlign w:val="center"/>
          </w:tcPr>
          <w:p w14:paraId="2359CAC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RTO/RPO/MTD matrix and recovery dependencies</w:t>
            </w:r>
          </w:p>
        </w:tc>
        <w:tc>
          <w:tcPr>
            <w:tcW w:w="3408" w:type="dxa"/>
            <w:shd w:val="clear" w:color="auto" w:fill="FFFFFF"/>
            <w:vAlign w:val="center"/>
          </w:tcPr>
          <w:p w14:paraId="46C547A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Identify preventive controls, recovery priorities and contingency requirements</w:t>
            </w:r>
          </w:p>
        </w:tc>
        <w:tc>
          <w:tcPr>
            <w:tcW w:w="3408" w:type="dxa"/>
            <w:shd w:val="clear" w:color="auto" w:fill="FFFFFF"/>
            <w:vAlign w:val="center"/>
          </w:tcPr>
          <w:p w14:paraId="195B9CB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Business continuity objectives and planning</w:t>
            </w:r>
          </w:p>
        </w:tc>
      </w:tr>
      <w:tr w:rsidR="00C40C09" w:rsidRPr="00154DD5" w14:paraId="5E778030" w14:textId="77777777">
        <w:trPr>
          <w:jc w:val="center"/>
        </w:trPr>
        <w:tc>
          <w:tcPr>
            <w:tcW w:w="3408" w:type="dxa"/>
            <w:shd w:val="clear" w:color="auto" w:fill="FFFFFF"/>
            <w:vAlign w:val="center"/>
          </w:tcPr>
          <w:p w14:paraId="4E07ADFD"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Backup schedule, restore chain and validation</w:t>
            </w:r>
          </w:p>
        </w:tc>
        <w:tc>
          <w:tcPr>
            <w:tcW w:w="3408" w:type="dxa"/>
            <w:shd w:val="clear" w:color="auto" w:fill="FFFFFF"/>
            <w:vAlign w:val="center"/>
          </w:tcPr>
          <w:p w14:paraId="17AAA1D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Contingency strategies, backup, recovery and testing procedures</w:t>
            </w:r>
          </w:p>
        </w:tc>
        <w:tc>
          <w:tcPr>
            <w:tcW w:w="3408" w:type="dxa"/>
            <w:shd w:val="clear" w:color="auto" w:fill="FFFFFF"/>
            <w:vAlign w:val="center"/>
          </w:tcPr>
          <w:p w14:paraId="080FBAA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Resources, operational planning and exercise</w:t>
            </w:r>
          </w:p>
        </w:tc>
      </w:tr>
      <w:tr w:rsidR="00C40C09" w:rsidRPr="00154DD5" w14:paraId="3C1B6180" w14:textId="77777777">
        <w:trPr>
          <w:jc w:val="center"/>
        </w:trPr>
        <w:tc>
          <w:tcPr>
            <w:tcW w:w="3408" w:type="dxa"/>
            <w:shd w:val="clear" w:color="auto" w:fill="FFFFFF"/>
            <w:vAlign w:val="center"/>
          </w:tcPr>
          <w:p w14:paraId="297D992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Activation, roles, RACI and communications</w:t>
            </w:r>
          </w:p>
        </w:tc>
        <w:tc>
          <w:tcPr>
            <w:tcW w:w="3408" w:type="dxa"/>
            <w:shd w:val="clear" w:color="auto" w:fill="FFFFFF"/>
            <w:vAlign w:val="center"/>
          </w:tcPr>
          <w:p w14:paraId="5268BC8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Plan development, roles, notification and coordination</w:t>
            </w:r>
          </w:p>
        </w:tc>
        <w:tc>
          <w:tcPr>
            <w:tcW w:w="3408" w:type="dxa"/>
            <w:shd w:val="clear" w:color="auto" w:fill="FFFFFF"/>
            <w:vAlign w:val="center"/>
          </w:tcPr>
          <w:p w14:paraId="1715D865"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Leadership, communication and documented information</w:t>
            </w:r>
          </w:p>
        </w:tc>
      </w:tr>
      <w:tr w:rsidR="00C40C09" w:rsidRPr="00154DD5" w14:paraId="400B858B" w14:textId="77777777">
        <w:trPr>
          <w:jc w:val="center"/>
        </w:trPr>
        <w:tc>
          <w:tcPr>
            <w:tcW w:w="3408" w:type="dxa"/>
            <w:shd w:val="clear" w:color="auto" w:fill="FFFFFF"/>
            <w:vAlign w:val="center"/>
          </w:tcPr>
          <w:p w14:paraId="017837E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Tabletop results, KPIs and corrective actions</w:t>
            </w:r>
          </w:p>
        </w:tc>
        <w:tc>
          <w:tcPr>
            <w:tcW w:w="3408" w:type="dxa"/>
            <w:shd w:val="clear" w:color="auto" w:fill="FFFFFF"/>
            <w:vAlign w:val="center"/>
          </w:tcPr>
          <w:p w14:paraId="7C06636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Testing, training, exercises, maintenance and improvement</w:t>
            </w:r>
          </w:p>
        </w:tc>
        <w:tc>
          <w:tcPr>
            <w:tcW w:w="3408" w:type="dxa"/>
            <w:shd w:val="clear" w:color="auto" w:fill="FFFFFF"/>
            <w:vAlign w:val="center"/>
          </w:tcPr>
          <w:p w14:paraId="1C212EC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Performance evaluation and continual improvement</w:t>
            </w:r>
          </w:p>
        </w:tc>
      </w:tr>
    </w:tbl>
    <w:p w14:paraId="150F00C3" w14:textId="77777777" w:rsidR="00C40C09" w:rsidRPr="00154DD5" w:rsidRDefault="00C40C09">
      <w:pPr>
        <w:rPr>
          <w:rFonts w:ascii="Times New Roman" w:hAnsi="Times New Roman" w:cs="Times New Roman"/>
        </w:rPr>
      </w:pPr>
    </w:p>
    <w:p w14:paraId="7B9CF574" w14:textId="77777777" w:rsidR="00C40C09" w:rsidRPr="00154DD5" w:rsidRDefault="00D07DBA">
      <w:pPr>
        <w:rPr>
          <w:rFonts w:ascii="Times New Roman" w:hAnsi="Times New Roman" w:cs="Times New Roman"/>
        </w:rPr>
      </w:pPr>
      <w:r w:rsidRPr="00154DD5">
        <w:rPr>
          <w:rFonts w:ascii="Times New Roman" w:hAnsi="Times New Roman" w:cs="Times New Roman"/>
        </w:rPr>
        <w:t>This is an educational mapping to broad framework themes, not a claim that NSI is compliant or certified. The flooding scenario also highlights climate and location risk: management should review flood maps and drainage, protect power and network equipment above likely water levels, assess generator and fuel safety, and avoid placing the alternate site in the same flood or power-distribution zone. Geography should be verified before treating a second site as independent.</w:t>
      </w:r>
    </w:p>
    <w:p w14:paraId="4F816152" w14:textId="77777777" w:rsidR="00C40C09" w:rsidRPr="00154DD5" w:rsidRDefault="00D07DBA">
      <w:pPr>
        <w:rPr>
          <w:rFonts w:ascii="Times New Roman" w:hAnsi="Times New Roman" w:cs="Times New Roman"/>
        </w:rPr>
      </w:pPr>
      <w:r w:rsidRPr="00154DD5">
        <w:rPr>
          <w:rFonts w:ascii="Times New Roman" w:hAnsi="Times New Roman" w:cs="Times New Roman"/>
        </w:rPr>
        <w:t>The 12-month improvement target is to move from Level 2 (Developing/Repeatable) to Level 3 (Defined/Standardised) in the slide 13 model. This is realistic if NSI approves one controlled plan, assigns named deputies, completes quarterly critical-backup restore tests, runs a coordinated annual exercise, and tracks findings to closure. The target should be evidenced by approved procedures, exercise records, recovery-time and recovery-point results, training records, and a review showing that corrective actions</w:t>
      </w:r>
      <w:r w:rsidRPr="00154DD5">
        <w:rPr>
          <w:rFonts w:ascii="Times New Roman" w:hAnsi="Times New Roman" w:cs="Times New Roman"/>
        </w:rPr>
        <w:t xml:space="preserve"> have been completed. NSI should not claim Level 3 simply because a document exists; consistent use and testing across the five functions are required by the model's description.</w:t>
      </w:r>
    </w:p>
    <w:p w14:paraId="317F5C22" w14:textId="77777777" w:rsidR="00C40C09" w:rsidRPr="00154DD5" w:rsidRDefault="00D07DBA">
      <w:pPr>
        <w:pStyle w:val="Heading2"/>
        <w:rPr>
          <w:rFonts w:ascii="Times New Roman" w:hAnsi="Times New Roman" w:cs="Times New Roman"/>
        </w:rPr>
      </w:pPr>
      <w:r w:rsidRPr="00154DD5">
        <w:rPr>
          <w:rFonts w:ascii="Times New Roman" w:hAnsi="Times New Roman" w:cs="Times New Roman"/>
        </w:rPr>
        <w:t>6.2 KPIs and maturity</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41"/>
        <w:gridCol w:w="2042"/>
        <w:gridCol w:w="2042"/>
        <w:gridCol w:w="2041"/>
        <w:gridCol w:w="2042"/>
      </w:tblGrid>
      <w:tr w:rsidR="00C40C09" w:rsidRPr="00154DD5" w14:paraId="29DA8EE8" w14:textId="77777777">
        <w:trPr>
          <w:jc w:val="center"/>
        </w:trPr>
        <w:tc>
          <w:tcPr>
            <w:tcW w:w="2045" w:type="dxa"/>
            <w:shd w:val="clear" w:color="auto" w:fill="FFFFFF"/>
            <w:vAlign w:val="center"/>
          </w:tcPr>
          <w:p w14:paraId="7DFE59E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KPI</w:t>
            </w:r>
          </w:p>
        </w:tc>
        <w:tc>
          <w:tcPr>
            <w:tcW w:w="2045" w:type="dxa"/>
            <w:shd w:val="clear" w:color="auto" w:fill="FFFFFF"/>
            <w:vAlign w:val="center"/>
          </w:tcPr>
          <w:p w14:paraId="21CC76D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Formula / measurement</w:t>
            </w:r>
          </w:p>
        </w:tc>
        <w:tc>
          <w:tcPr>
            <w:tcW w:w="2045" w:type="dxa"/>
            <w:shd w:val="clear" w:color="auto" w:fill="FFFFFF"/>
            <w:vAlign w:val="center"/>
          </w:tcPr>
          <w:p w14:paraId="3BF81AA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Data source</w:t>
            </w:r>
          </w:p>
        </w:tc>
        <w:tc>
          <w:tcPr>
            <w:tcW w:w="2045" w:type="dxa"/>
            <w:shd w:val="clear" w:color="auto" w:fill="FFFFFF"/>
            <w:vAlign w:val="center"/>
          </w:tcPr>
          <w:p w14:paraId="38235ED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Target / frequency</w:t>
            </w:r>
          </w:p>
        </w:tc>
        <w:tc>
          <w:tcPr>
            <w:tcW w:w="2045" w:type="dxa"/>
            <w:shd w:val="clear" w:color="auto" w:fill="FFFFFF"/>
            <w:vAlign w:val="center"/>
          </w:tcPr>
          <w:p w14:paraId="3FFB618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b/>
                <w:sz w:val="17"/>
              </w:rPr>
              <w:t>Accountable owner</w:t>
            </w:r>
          </w:p>
        </w:tc>
      </w:tr>
      <w:tr w:rsidR="00C40C09" w:rsidRPr="00154DD5" w14:paraId="2AF174D3" w14:textId="77777777">
        <w:trPr>
          <w:jc w:val="center"/>
        </w:trPr>
        <w:tc>
          <w:tcPr>
            <w:tcW w:w="2045" w:type="dxa"/>
            <w:shd w:val="clear" w:color="auto" w:fill="FFFFFF"/>
            <w:vAlign w:val="center"/>
          </w:tcPr>
          <w:p w14:paraId="40A9199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RTO achievement</w:t>
            </w:r>
          </w:p>
        </w:tc>
        <w:tc>
          <w:tcPr>
            <w:tcW w:w="2045" w:type="dxa"/>
            <w:shd w:val="clear" w:color="auto" w:fill="FFFFFF"/>
            <w:vAlign w:val="center"/>
          </w:tcPr>
          <w:p w14:paraId="3247C8B7"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Functions restored and business-accepted within RTO ÷ functions tested × 100</w:t>
            </w:r>
          </w:p>
        </w:tc>
        <w:tc>
          <w:tcPr>
            <w:tcW w:w="2045" w:type="dxa"/>
            <w:shd w:val="clear" w:color="auto" w:fill="FFFFFF"/>
            <w:vAlign w:val="center"/>
          </w:tcPr>
          <w:p w14:paraId="06EBEEE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Exercise timestamps and acceptance records</w:t>
            </w:r>
          </w:p>
        </w:tc>
        <w:tc>
          <w:tcPr>
            <w:tcW w:w="2045" w:type="dxa"/>
            <w:shd w:val="clear" w:color="auto" w:fill="FFFFFF"/>
            <w:vAlign w:val="center"/>
          </w:tcPr>
          <w:p w14:paraId="2439906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≥90% per exercise; report quarterly</w:t>
            </w:r>
          </w:p>
        </w:tc>
        <w:tc>
          <w:tcPr>
            <w:tcW w:w="2045" w:type="dxa"/>
            <w:shd w:val="clear" w:color="auto" w:fill="FFFFFF"/>
            <w:vAlign w:val="center"/>
          </w:tcPr>
          <w:p w14:paraId="4F668462"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Continuity Coordinator</w:t>
            </w:r>
          </w:p>
        </w:tc>
      </w:tr>
      <w:tr w:rsidR="00C40C09" w:rsidRPr="00154DD5" w14:paraId="00B6C686" w14:textId="77777777">
        <w:trPr>
          <w:jc w:val="center"/>
        </w:trPr>
        <w:tc>
          <w:tcPr>
            <w:tcW w:w="2045" w:type="dxa"/>
            <w:shd w:val="clear" w:color="auto" w:fill="FFFFFF"/>
            <w:vAlign w:val="center"/>
          </w:tcPr>
          <w:p w14:paraId="0C1B989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Backup restore-test coverage</w:t>
            </w:r>
          </w:p>
        </w:tc>
        <w:tc>
          <w:tcPr>
            <w:tcW w:w="2045" w:type="dxa"/>
            <w:shd w:val="clear" w:color="auto" w:fill="FFFFFF"/>
            <w:vAlign w:val="center"/>
          </w:tcPr>
          <w:p w14:paraId="19B9E62C"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Critical systems with successful restore test in period ÷ critical systems × 100</w:t>
            </w:r>
          </w:p>
        </w:tc>
        <w:tc>
          <w:tcPr>
            <w:tcW w:w="2045" w:type="dxa"/>
            <w:shd w:val="clear" w:color="auto" w:fill="FFFFFF"/>
            <w:vAlign w:val="center"/>
          </w:tcPr>
          <w:p w14:paraId="0BBFEF7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Backup and test reports</w:t>
            </w:r>
          </w:p>
        </w:tc>
        <w:tc>
          <w:tcPr>
            <w:tcW w:w="2045" w:type="dxa"/>
            <w:shd w:val="clear" w:color="auto" w:fill="FFFFFF"/>
            <w:vAlign w:val="center"/>
          </w:tcPr>
          <w:p w14:paraId="5D536F8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100% quarterly for critical systems</w:t>
            </w:r>
          </w:p>
        </w:tc>
        <w:tc>
          <w:tcPr>
            <w:tcW w:w="2045" w:type="dxa"/>
            <w:shd w:val="clear" w:color="auto" w:fill="FFFFFF"/>
            <w:vAlign w:val="center"/>
          </w:tcPr>
          <w:p w14:paraId="64EA046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DR Lead</w:t>
            </w:r>
          </w:p>
        </w:tc>
      </w:tr>
      <w:tr w:rsidR="00C40C09" w:rsidRPr="00154DD5" w14:paraId="34D0A64A" w14:textId="77777777">
        <w:trPr>
          <w:jc w:val="center"/>
        </w:trPr>
        <w:tc>
          <w:tcPr>
            <w:tcW w:w="2045" w:type="dxa"/>
            <w:shd w:val="clear" w:color="auto" w:fill="FFFFFF"/>
            <w:vAlign w:val="center"/>
          </w:tcPr>
          <w:p w14:paraId="7EEAA884"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Corrective-action closure</w:t>
            </w:r>
          </w:p>
        </w:tc>
        <w:tc>
          <w:tcPr>
            <w:tcW w:w="2045" w:type="dxa"/>
            <w:shd w:val="clear" w:color="auto" w:fill="FFFFFF"/>
            <w:vAlign w:val="center"/>
          </w:tcPr>
          <w:p w14:paraId="0B4FC5B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Actions closed by due date with evidence ÷ actions due × 100</w:t>
            </w:r>
          </w:p>
        </w:tc>
        <w:tc>
          <w:tcPr>
            <w:tcW w:w="2045" w:type="dxa"/>
            <w:shd w:val="clear" w:color="auto" w:fill="FFFFFF"/>
            <w:vAlign w:val="center"/>
          </w:tcPr>
          <w:p w14:paraId="0E61DDB9"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Improvement tracker</w:t>
            </w:r>
          </w:p>
        </w:tc>
        <w:tc>
          <w:tcPr>
            <w:tcW w:w="2045" w:type="dxa"/>
            <w:shd w:val="clear" w:color="auto" w:fill="FFFFFF"/>
            <w:vAlign w:val="center"/>
          </w:tcPr>
          <w:p w14:paraId="5B83B18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≥90% monthly; no overdue P1 action</w:t>
            </w:r>
          </w:p>
        </w:tc>
        <w:tc>
          <w:tcPr>
            <w:tcW w:w="2045" w:type="dxa"/>
            <w:shd w:val="clear" w:color="auto" w:fill="FFFFFF"/>
            <w:vAlign w:val="center"/>
          </w:tcPr>
          <w:p w14:paraId="663FB35B"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Plan owner</w:t>
            </w:r>
          </w:p>
        </w:tc>
      </w:tr>
      <w:tr w:rsidR="00C40C09" w:rsidRPr="00154DD5" w14:paraId="3C0D509A" w14:textId="77777777">
        <w:trPr>
          <w:jc w:val="center"/>
        </w:trPr>
        <w:tc>
          <w:tcPr>
            <w:tcW w:w="2045" w:type="dxa"/>
            <w:shd w:val="clear" w:color="auto" w:fill="FFFFFF"/>
            <w:vAlign w:val="center"/>
          </w:tcPr>
          <w:p w14:paraId="438844D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Training completion</w:t>
            </w:r>
          </w:p>
        </w:tc>
        <w:tc>
          <w:tcPr>
            <w:tcW w:w="2045" w:type="dxa"/>
            <w:shd w:val="clear" w:color="auto" w:fill="FFFFFF"/>
            <w:vAlign w:val="center"/>
          </w:tcPr>
          <w:p w14:paraId="5DC6C64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Assigned personnel completing annual training ÷ personnel assigned × 100</w:t>
            </w:r>
          </w:p>
        </w:tc>
        <w:tc>
          <w:tcPr>
            <w:tcW w:w="2045" w:type="dxa"/>
            <w:shd w:val="clear" w:color="auto" w:fill="FFFFFF"/>
            <w:vAlign w:val="center"/>
          </w:tcPr>
          <w:p w14:paraId="2DB14C2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Training register</w:t>
            </w:r>
          </w:p>
        </w:tc>
        <w:tc>
          <w:tcPr>
            <w:tcW w:w="2045" w:type="dxa"/>
            <w:shd w:val="clear" w:color="auto" w:fill="FFFFFF"/>
            <w:vAlign w:val="center"/>
          </w:tcPr>
          <w:p w14:paraId="05C3ADD8"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≥95% annually</w:t>
            </w:r>
          </w:p>
        </w:tc>
        <w:tc>
          <w:tcPr>
            <w:tcW w:w="2045" w:type="dxa"/>
            <w:shd w:val="clear" w:color="auto" w:fill="FFFFFF"/>
            <w:vAlign w:val="center"/>
          </w:tcPr>
          <w:p w14:paraId="3EF0EEFE"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HR / Continuity Coordinator</w:t>
            </w:r>
          </w:p>
        </w:tc>
      </w:tr>
      <w:tr w:rsidR="00C40C09" w:rsidRPr="00154DD5" w14:paraId="5AC904FF" w14:textId="77777777">
        <w:trPr>
          <w:jc w:val="center"/>
        </w:trPr>
        <w:tc>
          <w:tcPr>
            <w:tcW w:w="2045" w:type="dxa"/>
            <w:shd w:val="clear" w:color="auto" w:fill="FFFFFF"/>
            <w:vAlign w:val="center"/>
          </w:tcPr>
          <w:p w14:paraId="65DA04F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RPO compliance</w:t>
            </w:r>
          </w:p>
        </w:tc>
        <w:tc>
          <w:tcPr>
            <w:tcW w:w="2045" w:type="dxa"/>
            <w:shd w:val="clear" w:color="auto" w:fill="FFFFFF"/>
            <w:vAlign w:val="center"/>
          </w:tcPr>
          <w:p w14:paraId="77FDCD4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Critical data restores meeting approved RPO ÷ critical data restores tested × 100</w:t>
            </w:r>
          </w:p>
        </w:tc>
        <w:tc>
          <w:tcPr>
            <w:tcW w:w="2045" w:type="dxa"/>
            <w:shd w:val="clear" w:color="auto" w:fill="FFFFFF"/>
            <w:vAlign w:val="center"/>
          </w:tcPr>
          <w:p w14:paraId="5EB8EA3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Backup timestamps and restore reports</w:t>
            </w:r>
          </w:p>
        </w:tc>
        <w:tc>
          <w:tcPr>
            <w:tcW w:w="2045" w:type="dxa"/>
            <w:shd w:val="clear" w:color="auto" w:fill="FFFFFF"/>
            <w:vAlign w:val="center"/>
          </w:tcPr>
          <w:p w14:paraId="76FD4C10"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≥95% per quarterly test; explain all failures</w:t>
            </w:r>
          </w:p>
        </w:tc>
        <w:tc>
          <w:tcPr>
            <w:tcW w:w="2045" w:type="dxa"/>
            <w:shd w:val="clear" w:color="auto" w:fill="FFFFFF"/>
            <w:vAlign w:val="center"/>
          </w:tcPr>
          <w:p w14:paraId="6E5C0216"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DR Lead</w:t>
            </w:r>
          </w:p>
        </w:tc>
      </w:tr>
      <w:tr w:rsidR="00C40C09" w:rsidRPr="00154DD5" w14:paraId="0C2A23F9" w14:textId="77777777">
        <w:trPr>
          <w:jc w:val="center"/>
        </w:trPr>
        <w:tc>
          <w:tcPr>
            <w:tcW w:w="2045" w:type="dxa"/>
            <w:shd w:val="clear" w:color="auto" w:fill="FFFFFF"/>
            <w:vAlign w:val="center"/>
          </w:tcPr>
          <w:p w14:paraId="6CD17FFA"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Contact-tree reachability</w:t>
            </w:r>
          </w:p>
        </w:tc>
        <w:tc>
          <w:tcPr>
            <w:tcW w:w="2045" w:type="dxa"/>
            <w:shd w:val="clear" w:color="auto" w:fill="FFFFFF"/>
            <w:vAlign w:val="center"/>
          </w:tcPr>
          <w:p w14:paraId="3C2795C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Critical roles reached within 15 minutes ÷ roles tested × 100</w:t>
            </w:r>
          </w:p>
        </w:tc>
        <w:tc>
          <w:tcPr>
            <w:tcW w:w="2045" w:type="dxa"/>
            <w:shd w:val="clear" w:color="auto" w:fill="FFFFFF"/>
            <w:vAlign w:val="center"/>
          </w:tcPr>
          <w:p w14:paraId="55A8D15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Call-tree exercise log</w:t>
            </w:r>
          </w:p>
        </w:tc>
        <w:tc>
          <w:tcPr>
            <w:tcW w:w="2045" w:type="dxa"/>
            <w:shd w:val="clear" w:color="auto" w:fill="FFFFFF"/>
            <w:vAlign w:val="center"/>
          </w:tcPr>
          <w:p w14:paraId="4875158F"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≥95% quarterly</w:t>
            </w:r>
          </w:p>
        </w:tc>
        <w:tc>
          <w:tcPr>
            <w:tcW w:w="2045" w:type="dxa"/>
            <w:shd w:val="clear" w:color="auto" w:fill="FFFFFF"/>
            <w:vAlign w:val="center"/>
          </w:tcPr>
          <w:p w14:paraId="4EC8E5F1" w14:textId="77777777" w:rsidR="00C40C09" w:rsidRPr="00154DD5" w:rsidRDefault="00D07DBA">
            <w:pPr>
              <w:spacing w:after="20"/>
              <w:rPr>
                <w:rFonts w:ascii="Times New Roman" w:hAnsi="Times New Roman" w:cs="Times New Roman"/>
              </w:rPr>
            </w:pPr>
            <w:r w:rsidRPr="00154DD5">
              <w:rPr>
                <w:rFonts w:ascii="Times New Roman" w:hAnsi="Times New Roman" w:cs="Times New Roman"/>
                <w:sz w:val="17"/>
              </w:rPr>
              <w:t>Continuity Coordinator</w:t>
            </w:r>
          </w:p>
        </w:tc>
      </w:tr>
    </w:tbl>
    <w:p w14:paraId="47B2BDA1" w14:textId="77777777" w:rsidR="00C40C09" w:rsidRPr="00154DD5" w:rsidRDefault="00C40C09">
      <w:pPr>
        <w:rPr>
          <w:rFonts w:ascii="Times New Roman" w:hAnsi="Times New Roman" w:cs="Times New Roman"/>
        </w:rPr>
      </w:pPr>
    </w:p>
    <w:p w14:paraId="2F21AFD7" w14:textId="77777777" w:rsidR="00C40C09" w:rsidRPr="00154DD5" w:rsidRDefault="00D07DBA">
      <w:pPr>
        <w:rPr>
          <w:rFonts w:ascii="Times New Roman" w:hAnsi="Times New Roman" w:cs="Times New Roman"/>
        </w:rPr>
      </w:pPr>
      <w:r w:rsidRPr="00154DD5">
        <w:rPr>
          <w:rFonts w:ascii="Times New Roman" w:hAnsi="Times New Roman" w:cs="Times New Roman"/>
        </w:rPr>
        <w:t xml:space="preserve">A reasonable initial maturity assessment is Level 2 — repeatable but partly dependent on individual knowledge — as a planning assumption, not a verified rating from the teaching slide. The brief refers to a maturity model on slide 13, so the final submission must check the exact labels and criteria against that slide and adjust this assessment if needed. A </w:t>
      </w:r>
      <w:r w:rsidRPr="00154DD5">
        <w:rPr>
          <w:rFonts w:ascii="Times New Roman" w:hAnsi="Times New Roman" w:cs="Times New Roman"/>
        </w:rPr>
        <w:lastRenderedPageBreak/>
        <w:t>realistic 12-month target is Level 3, with approved procedures, named owners, scheduled tests, recorded results and tracked corrective actions. Progress should be demonstrated through evidence rather than a self-rating alone.</w:t>
      </w:r>
    </w:p>
    <w:p w14:paraId="3A63A997" w14:textId="77777777" w:rsidR="00C40C09" w:rsidRPr="00154DD5" w:rsidRDefault="00D07DBA">
      <w:pPr>
        <w:pStyle w:val="Heading1"/>
        <w:rPr>
          <w:rFonts w:ascii="Times New Roman" w:hAnsi="Times New Roman" w:cs="Times New Roman"/>
        </w:rPr>
      </w:pPr>
      <w:r w:rsidRPr="00154DD5">
        <w:rPr>
          <w:rFonts w:ascii="Times New Roman" w:hAnsi="Times New Roman" w:cs="Times New Roman"/>
        </w:rPr>
        <w:t>Conclusion</w:t>
      </w:r>
    </w:p>
    <w:p w14:paraId="1C6DE192" w14:textId="77777777" w:rsidR="00C40C09" w:rsidRPr="00154DD5" w:rsidRDefault="00D07DBA">
      <w:pPr>
        <w:rPr>
          <w:rFonts w:ascii="Times New Roman" w:hAnsi="Times New Roman" w:cs="Times New Roman"/>
        </w:rPr>
      </w:pPr>
      <w:r w:rsidRPr="00154DD5">
        <w:rPr>
          <w:rFonts w:ascii="Times New Roman" w:hAnsi="Times New Roman" w:cs="Times New Roman"/>
        </w:rPr>
        <w:t>NSI should adopt the Warm recovery package with independent protected backups and training/testing, subject to supplier validation. The baseline schedule indicates that all five functions can be technically restored by 12:30 with two technicians, but the examination service finishes at 11:45 and therefore requires an approved continuity arrangement for the 11:00 deadline. The BIA shows a modelled no-recovery cost of ₦1.2 million at eight hours and ₦3.36 million at 24 hours, while also highlighting unquantif</w:t>
      </w:r>
      <w:r w:rsidRPr="00154DD5">
        <w:rPr>
          <w:rFonts w:ascii="Times New Roman" w:hAnsi="Times New Roman" w:cs="Times New Roman"/>
        </w:rPr>
        <w:t>ied learner, reputation and integrity impacts. Separate backup access, more frequent AUTH01 and FS01 protection, controlled manual records and repeated exercises are necessary to turn the plan into a dependable capability.</w:t>
      </w:r>
    </w:p>
    <w:p w14:paraId="3E735E1A" w14:textId="77777777" w:rsidR="00C40C09" w:rsidRPr="00154DD5" w:rsidRDefault="00D07DBA">
      <w:pPr>
        <w:pStyle w:val="Heading1"/>
        <w:rPr>
          <w:rFonts w:ascii="Times New Roman" w:hAnsi="Times New Roman" w:cs="Times New Roman"/>
        </w:rPr>
      </w:pPr>
      <w:r w:rsidRPr="00154DD5">
        <w:rPr>
          <w:rFonts w:ascii="Times New Roman" w:hAnsi="Times New Roman" w:cs="Times New Roman"/>
        </w:rPr>
        <w:t>References</w:t>
      </w:r>
    </w:p>
    <w:p w14:paraId="6AEDF0E5" w14:textId="77777777" w:rsidR="00C40C09" w:rsidRPr="00154DD5" w:rsidRDefault="00D07DBA">
      <w:pPr>
        <w:pStyle w:val="ListNumber"/>
        <w:rPr>
          <w:rFonts w:ascii="Times New Roman" w:hAnsi="Times New Roman" w:cs="Times New Roman"/>
        </w:rPr>
      </w:pPr>
      <w:r w:rsidRPr="00154DD5">
        <w:rPr>
          <w:rFonts w:ascii="Times New Roman" w:hAnsi="Times New Roman" w:cs="Times New Roman"/>
        </w:rPr>
        <w:t>International Cybersecurity and Digital Forensics Academy (ICDFA). (n.d.). Business Continuity and Disaster Recovery: GRC205 Incident Management and Business Continuity, Week 21 teaching deck, slides 1–15.</w:t>
      </w:r>
    </w:p>
    <w:p w14:paraId="453F7F25" w14:textId="77777777" w:rsidR="00C40C09" w:rsidRPr="00154DD5" w:rsidRDefault="00D07DBA">
      <w:pPr>
        <w:pStyle w:val="ListNumber"/>
        <w:rPr>
          <w:rFonts w:ascii="Times New Roman" w:hAnsi="Times New Roman" w:cs="Times New Roman"/>
        </w:rPr>
      </w:pPr>
      <w:r w:rsidRPr="00154DD5">
        <w:rPr>
          <w:rFonts w:ascii="Times New Roman" w:hAnsi="Times New Roman" w:cs="Times New Roman"/>
        </w:rPr>
        <w:t>National Institute of Standards and Technology. (2010). Contingency Planning Guide for Federal Information Systems (NIST SP 800-34 Rev. 1). https://csrc.nist.gov/pubs/sp/800/34/r1/upd1/final</w:t>
      </w:r>
    </w:p>
    <w:p w14:paraId="2FFD9552" w14:textId="77777777" w:rsidR="00C40C09" w:rsidRPr="00154DD5" w:rsidRDefault="00D07DBA">
      <w:pPr>
        <w:pStyle w:val="ListNumber"/>
        <w:rPr>
          <w:rFonts w:ascii="Times New Roman" w:hAnsi="Times New Roman" w:cs="Times New Roman"/>
        </w:rPr>
      </w:pPr>
      <w:r w:rsidRPr="00154DD5">
        <w:rPr>
          <w:rFonts w:ascii="Times New Roman" w:hAnsi="Times New Roman" w:cs="Times New Roman"/>
        </w:rPr>
        <w:t>International Organization for Standardization. (2019). ISO 22301:2019 Security and resilience — Business continuity management systems — Requirements. https://www.iso.org/standard/75106.html</w:t>
      </w:r>
    </w:p>
    <w:p w14:paraId="2E562D54" w14:textId="77777777" w:rsidR="00C40C09" w:rsidRPr="00154DD5" w:rsidRDefault="00D07DBA">
      <w:pPr>
        <w:pStyle w:val="ListNumber"/>
        <w:rPr>
          <w:rFonts w:ascii="Times New Roman" w:hAnsi="Times New Roman" w:cs="Times New Roman"/>
        </w:rPr>
      </w:pPr>
      <w:r w:rsidRPr="00154DD5">
        <w:rPr>
          <w:rFonts w:ascii="Times New Roman" w:hAnsi="Times New Roman" w:cs="Times New Roman"/>
        </w:rPr>
        <w:t>International Organization for Standardization. (2024). ISO 22301:2019/Amd 1:2024 — Climate action changes. https://www.iso.org/standard/88412.html</w:t>
      </w:r>
    </w:p>
    <w:sectPr w:rsidR="00C40C09" w:rsidRPr="00154DD5" w:rsidSect="00034616">
      <w:headerReference w:type="even" r:id="rId9"/>
      <w:headerReference w:type="default" r:id="rId10"/>
      <w:footerReference w:type="even" r:id="rId11"/>
      <w:footerReference w:type="default" r:id="rId12"/>
      <w:headerReference w:type="first" r:id="rId13"/>
      <w:footerReference w:type="first" r:id="rId14"/>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C4645" w14:textId="77777777" w:rsidR="00D07DBA" w:rsidRDefault="00D07DBA">
      <w:pPr>
        <w:spacing w:after="0" w:line="240" w:lineRule="auto"/>
      </w:pPr>
      <w:r>
        <w:separator/>
      </w:r>
    </w:p>
  </w:endnote>
  <w:endnote w:type="continuationSeparator" w:id="0">
    <w:p w14:paraId="765487D9" w14:textId="77777777" w:rsidR="00D07DBA" w:rsidRDefault="00D07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DB562" w14:textId="77777777" w:rsidR="00C40C09" w:rsidRDefault="00C40C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9973C" w14:textId="77777777" w:rsidR="00C40C09" w:rsidRDefault="00C40C0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FBF9A" w14:textId="77777777" w:rsidR="00C40C09" w:rsidRDefault="00C40C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FABE1" w14:textId="77777777" w:rsidR="00D07DBA" w:rsidRDefault="00D07DBA">
      <w:pPr>
        <w:spacing w:after="0" w:line="240" w:lineRule="auto"/>
      </w:pPr>
      <w:r>
        <w:separator/>
      </w:r>
    </w:p>
  </w:footnote>
  <w:footnote w:type="continuationSeparator" w:id="0">
    <w:p w14:paraId="198A71EA" w14:textId="77777777" w:rsidR="00D07DBA" w:rsidRDefault="00D07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717F3" w14:textId="77777777" w:rsidR="00C40C09" w:rsidRDefault="00C40C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4A85" w14:textId="77777777" w:rsidR="00C40C09" w:rsidRDefault="00C40C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6C57C" w14:textId="77777777" w:rsidR="00C40C09" w:rsidRDefault="00C40C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744822">
    <w:abstractNumId w:val="8"/>
  </w:num>
  <w:num w:numId="2" w16cid:durableId="2002344812">
    <w:abstractNumId w:val="6"/>
  </w:num>
  <w:num w:numId="3" w16cid:durableId="547179566">
    <w:abstractNumId w:val="5"/>
  </w:num>
  <w:num w:numId="4" w16cid:durableId="2133087128">
    <w:abstractNumId w:val="4"/>
  </w:num>
  <w:num w:numId="5" w16cid:durableId="1570650826">
    <w:abstractNumId w:val="7"/>
  </w:num>
  <w:num w:numId="6" w16cid:durableId="11691049">
    <w:abstractNumId w:val="3"/>
  </w:num>
  <w:num w:numId="7" w16cid:durableId="914128471">
    <w:abstractNumId w:val="2"/>
  </w:num>
  <w:num w:numId="8" w16cid:durableId="1166483536">
    <w:abstractNumId w:val="1"/>
  </w:num>
  <w:num w:numId="9" w16cid:durableId="200181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4DD5"/>
    <w:rsid w:val="0029639D"/>
    <w:rsid w:val="00326F90"/>
    <w:rsid w:val="00666403"/>
    <w:rsid w:val="00AA1D8D"/>
    <w:rsid w:val="00B47730"/>
    <w:rsid w:val="00C40C09"/>
    <w:rsid w:val="00CB0664"/>
    <w:rsid w:val="00D07D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39971"/>
  <w14:defaultImageDpi w14:val="300"/>
  <w15:docId w15:val="{98FE7A1D-CDE0-4709-8CA2-0AF7DE8C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rPr>
  </w:style>
  <w:style w:type="character" w:styleId="SubtleEmphasis">
    <w:name w:val="Subtle Emphasis"/>
    <w:basedOn w:val="DefaultParagraphFont"/>
    <w:uiPriority w:val="19"/>
    <w:qFormat/>
    <w:rsid w:val="00FC693F"/>
    <w:rPr>
      <w:i/>
      <w:iCs/>
    </w:rPr>
  </w:style>
  <w:style w:type="character" w:styleId="IntenseEmphasis">
    <w:name w:val="Intense Emphasis"/>
    <w:basedOn w:val="DefaultParagraphFont"/>
    <w:uiPriority w:val="21"/>
    <w:qFormat/>
    <w:rsid w:val="00FC693F"/>
    <w:rPr>
      <w:b/>
      <w:bCs/>
      <w:i/>
      <w:iCs/>
    </w:rPr>
  </w:style>
  <w:style w:type="character" w:styleId="SubtleReference">
    <w:name w:val="Subtle Reference"/>
    <w:basedOn w:val="DefaultParagraphFont"/>
    <w:uiPriority w:val="31"/>
    <w:qFormat/>
    <w:rsid w:val="00FC693F"/>
    <w:rPr>
      <w:smallCaps/>
      <w:u w:val="single"/>
    </w:rPr>
  </w:style>
  <w:style w:type="character" w:styleId="IntenseReference">
    <w:name w:val="Intense Reference"/>
    <w:basedOn w:val="DefaultParagraphFont"/>
    <w:uiPriority w:val="32"/>
    <w:qFormat/>
    <w:rsid w:val="00FC693F"/>
    <w:rPr>
      <w:b/>
      <w:bCs/>
      <w:smallCaps/>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style>
  <w:style w:type="table" w:styleId="LightShading">
    <w:name w:val="Light Shading"/>
    <w:basedOn w:val="TableNormal"/>
    <w:uiPriority w:val="60"/>
    <w:rsid w:val="00FC693F"/>
    <w:pPr>
      <w:spacing w:after="0" w:line="240" w:lineRule="auto"/>
    </w:pPr>
    <w:tblPr>
      <w:tblStyleRowBandSize w:val="1"/>
      <w:tblStyleColBandSize w:val="1"/>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FC693F"/>
    <w:pPr>
      <w:spacing w:after="0" w:line="240" w:lineRule="auto"/>
    </w:pPr>
    <w:tblPr>
      <w:tblStyleRowBandSize w:val="1"/>
      <w:tblStyleColBandSize w:val="1"/>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rsid w:val="00FC693F"/>
    <w:pPr>
      <w:spacing w:after="0" w:line="240" w:lineRule="auto"/>
    </w:pPr>
    <w:tblPr>
      <w:tblStyleRowBandSize w:val="1"/>
      <w:tblStyleColBandSize w:val="1"/>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rsid w:val="00FC693F"/>
    <w:pPr>
      <w:spacing w:after="0" w:line="240" w:lineRule="auto"/>
    </w:pPr>
    <w:tblPr>
      <w:tblStyleRowBandSize w:val="1"/>
      <w:tblStyleColBandSize w:val="1"/>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4">
    <w:name w:val="Light Shading Accent 4"/>
    <w:basedOn w:val="TableNormal"/>
    <w:uiPriority w:val="60"/>
    <w:rsid w:val="00FC693F"/>
    <w:pPr>
      <w:spacing w:after="0" w:line="240" w:lineRule="auto"/>
    </w:pPr>
    <w:tblPr>
      <w:tblStyleRowBandSize w:val="1"/>
      <w:tblStyleColBandSize w:val="1"/>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5">
    <w:name w:val="Light Shading Accent 5"/>
    <w:basedOn w:val="TableNormal"/>
    <w:uiPriority w:val="60"/>
    <w:rsid w:val="00FC693F"/>
    <w:pPr>
      <w:spacing w:after="0" w:line="240" w:lineRule="auto"/>
    </w:pPr>
    <w:tblPr>
      <w:tblStyleRowBandSize w:val="1"/>
      <w:tblStyleColBandSize w:val="1"/>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rsid w:val="00FC693F"/>
    <w:pPr>
      <w:spacing w:after="0" w:line="240" w:lineRule="auto"/>
    </w:pPr>
    <w:tblPr>
      <w:tblStyleRowBandSize w:val="1"/>
      <w:tblStyleColBandSize w:val="1"/>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
    <w:name w:val="Light List"/>
    <w:basedOn w:val="TableNormal"/>
    <w:uiPriority w:val="61"/>
    <w:rsid w:val="00FC693F"/>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rsid w:val="00FC693F"/>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
    <w:name w:val="Light Grid"/>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1">
    <w:name w:val="Light Grid Accent 1"/>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6">
    <w:name w:val="Light Grid Accent 6"/>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MediumShading1">
    <w:name w:val="Medium Shading 1"/>
    <w:basedOn w:val="TableNormal"/>
    <w:uiPriority w:val="63"/>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color w:val="auto"/>
      </w:rPr>
    </w:tblStylePr>
    <w:tblStylePr w:type="firstCol">
      <w:rPr>
        <w:b/>
        <w:bCs/>
        <w:color w:val="000000"/>
      </w:rPr>
    </w:tblStylePr>
    <w:tblStylePr w:type="lastCol">
      <w:rPr>
        <w:b/>
        <w:bCs/>
        <w:color w:val="000000"/>
      </w:rPr>
    </w:tblStylePr>
    <w:tblStylePr w:type="nwCell">
      <w:rPr>
        <w:color w:val="000000"/>
      </w:r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color w:val="auto"/>
      </w:rPr>
    </w:tblStylePr>
    <w:tblStylePr w:type="firstCol">
      <w:rPr>
        <w:b/>
        <w:bCs/>
        <w:color w:val="000000"/>
      </w:rPr>
    </w:tblStylePr>
    <w:tblStylePr w:type="lastCol">
      <w:rPr>
        <w:b/>
        <w:bCs/>
        <w:color w:val="000000"/>
      </w:rPr>
    </w:tblStylePr>
    <w:tblStylePr w:type="nwCell">
      <w:rPr>
        <w:color w:val="000000"/>
      </w:r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color w:val="auto"/>
      </w:rPr>
    </w:tblStylePr>
    <w:tblStylePr w:type="firstCol">
      <w:rPr>
        <w:b/>
        <w:bCs/>
        <w:color w:val="000000"/>
      </w:rPr>
    </w:tblStylePr>
    <w:tblStylePr w:type="lastCol">
      <w:rPr>
        <w:b/>
        <w:bCs/>
        <w:color w:val="000000"/>
      </w:rPr>
    </w:tblStylePr>
    <w:tblStylePr w:type="nwCell">
      <w:rPr>
        <w:color w:val="000000"/>
      </w:r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color w:val="auto"/>
      </w:rPr>
    </w:tblStylePr>
    <w:tblStylePr w:type="firstCol">
      <w:rPr>
        <w:b/>
        <w:bCs/>
        <w:color w:val="000000"/>
      </w:rPr>
    </w:tblStylePr>
    <w:tblStylePr w:type="lastCol">
      <w:rPr>
        <w:b/>
        <w:bCs/>
        <w:color w:val="000000"/>
      </w:rPr>
    </w:tblStylePr>
    <w:tblStylePr w:type="nwCell">
      <w:rPr>
        <w:color w:val="000000"/>
      </w:r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color w:val="auto"/>
      </w:rPr>
    </w:tblStylePr>
    <w:tblStylePr w:type="firstCol">
      <w:rPr>
        <w:b/>
        <w:bCs/>
        <w:color w:val="000000"/>
      </w:rPr>
    </w:tblStylePr>
    <w:tblStylePr w:type="lastCol">
      <w:rPr>
        <w:b/>
        <w:bCs/>
        <w:color w:val="000000"/>
      </w:rPr>
    </w:tblStylePr>
    <w:tblStylePr w:type="nwCell">
      <w:rPr>
        <w:color w:val="000000"/>
      </w:r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color w:val="auto"/>
      </w:rPr>
    </w:tblStylePr>
    <w:tblStylePr w:type="firstCol">
      <w:rPr>
        <w:b/>
        <w:bCs/>
        <w:color w:val="000000"/>
      </w:rPr>
    </w:tblStylePr>
    <w:tblStylePr w:type="lastCol">
      <w:rPr>
        <w:b/>
        <w:bCs/>
        <w:color w:val="000000"/>
      </w:rPr>
    </w:tblStylePr>
    <w:tblStylePr w:type="nwCell">
      <w:rPr>
        <w:color w:val="000000"/>
      </w:r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000000"/>
      </w:rPr>
    </w:tblStylePr>
    <w:tblStylePr w:type="lastRow">
      <w:pPr>
        <w:spacing w:before="0" w:after="0" w:line="240" w:lineRule="auto"/>
      </w:pPr>
      <w:rPr>
        <w:color w:val="auto"/>
      </w:rPr>
    </w:tblStylePr>
    <w:tblStylePr w:type="firstCol">
      <w:rPr>
        <w:b/>
        <w:bCs/>
        <w:color w:val="000000"/>
      </w:rPr>
    </w:tblStylePr>
    <w:tblStylePr w:type="lastCol">
      <w:rPr>
        <w:b/>
        <w:bCs/>
        <w:color w:val="000000"/>
      </w:rPr>
    </w:tblStylePr>
    <w:tblStylePr w:type="nwCell">
      <w:rPr>
        <w:color w:val="000000"/>
      </w:rPr>
    </w:tblStylePr>
  </w:style>
  <w:style w:type="table" w:styleId="MediumList1">
    <w:name w:val="Medium List 1"/>
    <w:basedOn w:val="TableNormal"/>
    <w:uiPriority w:val="65"/>
    <w:rsid w:val="00CB0664"/>
    <w:pPr>
      <w:spacing w:after="0" w:line="240" w:lineRule="auto"/>
    </w:pPr>
    <w:tblPr>
      <w:tblStyleRowBandSize w:val="1"/>
      <w:tblStyleColBandSize w:val="1"/>
    </w:tblPr>
    <w:tblStylePr w:type="firstRow">
      <w:rPr>
        <w:rFonts w:asciiTheme="majorHAnsi" w:eastAsiaTheme="majorEastAsia" w:hAnsiTheme="majorHAnsi" w:cstheme="majorBidi"/>
      </w:rPr>
    </w:tblStylePr>
    <w:tblStylePr w:type="lastRow">
      <w:rPr>
        <w:b/>
        <w:bCs/>
        <w:color w:val="000000"/>
      </w:rPr>
    </w:tblStylePr>
    <w:tblStylePr w:type="firstCol">
      <w:rPr>
        <w:b/>
        <w:bCs/>
      </w:rPr>
    </w:tblStylePr>
    <w:tblStylePr w:type="lastCol">
      <w:rPr>
        <w:b/>
        <w:bCs/>
      </w:rPr>
    </w:tblStylePr>
  </w:style>
  <w:style w:type="table" w:styleId="MediumList1-Accent1">
    <w:name w:val="Medium List 1 Accent 1"/>
    <w:basedOn w:val="TableNormal"/>
    <w:uiPriority w:val="65"/>
    <w:rsid w:val="00CB0664"/>
    <w:pPr>
      <w:spacing w:after="0" w:line="240" w:lineRule="auto"/>
    </w:pPr>
    <w:tblPr>
      <w:tblStyleRowBandSize w:val="1"/>
      <w:tblStyleColBandSize w:val="1"/>
    </w:tblPr>
    <w:tblStylePr w:type="firstRow">
      <w:rPr>
        <w:rFonts w:asciiTheme="majorHAnsi" w:eastAsiaTheme="majorEastAsia" w:hAnsiTheme="majorHAnsi" w:cstheme="majorBidi"/>
      </w:rPr>
    </w:tblStylePr>
    <w:tblStylePr w:type="lastRow">
      <w:rPr>
        <w:b/>
        <w:bCs/>
        <w:color w:val="000000"/>
      </w:rPr>
    </w:tblStylePr>
    <w:tblStylePr w:type="firstCol">
      <w:rPr>
        <w:b/>
        <w:bCs/>
      </w:rPr>
    </w:tblStylePr>
    <w:tblStylePr w:type="lastCol">
      <w:rPr>
        <w:b/>
        <w:bCs/>
      </w:rPr>
    </w:tblStylePr>
  </w:style>
  <w:style w:type="table" w:styleId="MediumList1-Accent2">
    <w:name w:val="Medium List 1 Accent 2"/>
    <w:basedOn w:val="TableNormal"/>
    <w:uiPriority w:val="65"/>
    <w:rsid w:val="00CB0664"/>
    <w:pPr>
      <w:spacing w:after="0" w:line="240" w:lineRule="auto"/>
    </w:pPr>
    <w:tblPr>
      <w:tblStyleRowBandSize w:val="1"/>
      <w:tblStyleColBandSize w:val="1"/>
    </w:tblPr>
    <w:tblStylePr w:type="firstRow">
      <w:rPr>
        <w:rFonts w:asciiTheme="majorHAnsi" w:eastAsiaTheme="majorEastAsia" w:hAnsiTheme="majorHAnsi" w:cstheme="majorBidi"/>
      </w:rPr>
    </w:tblStylePr>
    <w:tblStylePr w:type="lastRow">
      <w:rPr>
        <w:b/>
        <w:bCs/>
        <w:color w:val="000000"/>
      </w:rPr>
    </w:tblStylePr>
    <w:tblStylePr w:type="firstCol">
      <w:rPr>
        <w:b/>
        <w:bCs/>
      </w:rPr>
    </w:tblStylePr>
    <w:tblStylePr w:type="lastCol">
      <w:rPr>
        <w:b/>
        <w:bCs/>
      </w:rPr>
    </w:tblStylePr>
  </w:style>
  <w:style w:type="table" w:styleId="MediumList1-Accent3">
    <w:name w:val="Medium List 1 Accent 3"/>
    <w:basedOn w:val="TableNormal"/>
    <w:uiPriority w:val="65"/>
    <w:rsid w:val="00CB0664"/>
    <w:pPr>
      <w:spacing w:after="0" w:line="240" w:lineRule="auto"/>
    </w:pPr>
    <w:tblPr>
      <w:tblStyleRowBandSize w:val="1"/>
      <w:tblStyleColBandSize w:val="1"/>
    </w:tblPr>
    <w:tblStylePr w:type="firstRow">
      <w:rPr>
        <w:rFonts w:asciiTheme="majorHAnsi" w:eastAsiaTheme="majorEastAsia" w:hAnsiTheme="majorHAnsi" w:cstheme="majorBidi"/>
      </w:rPr>
    </w:tblStylePr>
    <w:tblStylePr w:type="lastRow">
      <w:rPr>
        <w:b/>
        <w:bCs/>
        <w:color w:val="000000"/>
      </w:rPr>
    </w:tblStylePr>
    <w:tblStylePr w:type="firstCol">
      <w:rPr>
        <w:b/>
        <w:bCs/>
      </w:rPr>
    </w:tblStylePr>
    <w:tblStylePr w:type="lastCol">
      <w:rPr>
        <w:b/>
        <w:bCs/>
      </w:rPr>
    </w:tblStylePr>
  </w:style>
  <w:style w:type="table" w:styleId="MediumList1-Accent4">
    <w:name w:val="Medium List 1 Accent 4"/>
    <w:basedOn w:val="TableNormal"/>
    <w:uiPriority w:val="65"/>
    <w:rsid w:val="00CB0664"/>
    <w:pPr>
      <w:spacing w:after="0" w:line="240" w:lineRule="auto"/>
    </w:pPr>
    <w:tblPr>
      <w:tblStyleRowBandSize w:val="1"/>
      <w:tblStyleColBandSize w:val="1"/>
    </w:tblPr>
    <w:tblStylePr w:type="firstRow">
      <w:rPr>
        <w:rFonts w:asciiTheme="majorHAnsi" w:eastAsiaTheme="majorEastAsia" w:hAnsiTheme="majorHAnsi" w:cstheme="majorBidi"/>
      </w:rPr>
    </w:tblStylePr>
    <w:tblStylePr w:type="lastRow">
      <w:rPr>
        <w:b/>
        <w:bCs/>
        <w:color w:val="000000"/>
      </w:rPr>
    </w:tblStylePr>
    <w:tblStylePr w:type="firstCol">
      <w:rPr>
        <w:b/>
        <w:bCs/>
      </w:rPr>
    </w:tblStylePr>
    <w:tblStylePr w:type="lastCol">
      <w:rPr>
        <w:b/>
        <w:bCs/>
      </w:rPr>
    </w:tblStylePr>
  </w:style>
  <w:style w:type="table" w:styleId="MediumList1-Accent5">
    <w:name w:val="Medium List 1 Accent 5"/>
    <w:basedOn w:val="TableNormal"/>
    <w:uiPriority w:val="65"/>
    <w:rsid w:val="00CB0664"/>
    <w:pPr>
      <w:spacing w:after="0" w:line="240" w:lineRule="auto"/>
    </w:pPr>
    <w:tblPr>
      <w:tblStyleRowBandSize w:val="1"/>
      <w:tblStyleColBandSize w:val="1"/>
    </w:tblPr>
    <w:tblStylePr w:type="firstRow">
      <w:rPr>
        <w:rFonts w:asciiTheme="majorHAnsi" w:eastAsiaTheme="majorEastAsia" w:hAnsiTheme="majorHAnsi" w:cstheme="majorBidi"/>
      </w:rPr>
    </w:tblStylePr>
    <w:tblStylePr w:type="lastRow">
      <w:rPr>
        <w:b/>
        <w:bCs/>
        <w:color w:val="000000"/>
      </w:rPr>
    </w:tblStylePr>
    <w:tblStylePr w:type="firstCol">
      <w:rPr>
        <w:b/>
        <w:bCs/>
      </w:rPr>
    </w:tblStylePr>
    <w:tblStylePr w:type="lastCol">
      <w:rPr>
        <w:b/>
        <w:bCs/>
      </w:rPr>
    </w:tblStylePr>
  </w:style>
  <w:style w:type="table" w:styleId="MediumList1-Accent6">
    <w:name w:val="Medium List 1 Accent 6"/>
    <w:basedOn w:val="TableNormal"/>
    <w:uiPriority w:val="65"/>
    <w:rsid w:val="00CB0664"/>
    <w:pPr>
      <w:spacing w:after="0" w:line="240" w:lineRule="auto"/>
    </w:pPr>
    <w:tblPr>
      <w:tblStyleRowBandSize w:val="1"/>
      <w:tblStyleColBandSize w:val="1"/>
    </w:tblPr>
    <w:tblStylePr w:type="firstRow">
      <w:rPr>
        <w:rFonts w:asciiTheme="majorHAnsi" w:eastAsiaTheme="majorEastAsia" w:hAnsiTheme="majorHAnsi" w:cstheme="majorBidi"/>
      </w:rPr>
    </w:tblStylePr>
    <w:tblStylePr w:type="lastRow">
      <w:rPr>
        <w:b/>
        <w:bCs/>
        <w:color w:val="000000"/>
      </w:rPr>
    </w:tblStylePr>
    <w:tblStylePr w:type="firstCol">
      <w:rPr>
        <w:b/>
        <w:bCs/>
      </w:rPr>
    </w:tblStylePr>
    <w:tblStylePr w:type="lastCol">
      <w:rPr>
        <w:b/>
        <w:bCs/>
      </w:r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Pr>
    <w:tblStylePr w:type="firstRow">
      <w:rPr>
        <w:sz w:val="24"/>
        <w:szCs w:val="24"/>
      </w:r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Pr>
    <w:tblStylePr w:type="firstRow">
      <w:rPr>
        <w:sz w:val="24"/>
        <w:szCs w:val="24"/>
      </w:r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Pr>
    <w:tblStylePr w:type="firstRow">
      <w:rPr>
        <w:sz w:val="24"/>
        <w:szCs w:val="24"/>
      </w:r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Pr>
    <w:tblStylePr w:type="firstRow">
      <w:rPr>
        <w:sz w:val="24"/>
        <w:szCs w:val="24"/>
      </w:r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Pr>
    <w:tblStylePr w:type="firstRow">
      <w:rPr>
        <w:sz w:val="24"/>
        <w:szCs w:val="24"/>
      </w:r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Pr>
    <w:tblStylePr w:type="firstRow">
      <w:rPr>
        <w:sz w:val="24"/>
        <w:szCs w:val="24"/>
      </w:r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Pr>
    <w:tblStylePr w:type="firstRow">
      <w:rPr>
        <w:sz w:val="24"/>
        <w:szCs w:val="24"/>
      </w:rPr>
    </w:tblStylePr>
  </w:style>
  <w:style w:type="table" w:styleId="MediumGrid1">
    <w:name w:val="Medium Grid 1"/>
    <w:basedOn w:val="TableNormal"/>
    <w:uiPriority w:val="67"/>
    <w:rsid w:val="00CB066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CB066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2">
    <w:name w:val="Medium Grid 1 Accent 2"/>
    <w:basedOn w:val="TableNormal"/>
    <w:uiPriority w:val="67"/>
    <w:rsid w:val="00CB066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CB066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CB066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CB066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CB066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styleId="MediumGrid3">
    <w:name w:val="Medium Grid 3"/>
    <w:basedOn w:val="TableNormal"/>
    <w:uiPriority w:val="69"/>
    <w:rsid w:val="00CB0664"/>
    <w:pPr>
      <w:spacing w:after="0" w:line="240" w:lineRule="auto"/>
    </w:pPr>
    <w:tblPr>
      <w:tblStyleRowBandSize w:val="1"/>
      <w:tblStyleColBandSize w:val="1"/>
    </w:tblPr>
    <w:tblStylePr w:type="firstRow">
      <w:rPr>
        <w:b/>
        <w:bCs/>
        <w:i w:val="0"/>
        <w:iCs w:val="0"/>
        <w:color w:val="000000"/>
      </w:rPr>
    </w:tblStylePr>
    <w:tblStylePr w:type="lastRow">
      <w:rPr>
        <w:b/>
        <w:bCs/>
        <w:i w:val="0"/>
        <w:iCs w:val="0"/>
        <w:color w:val="000000"/>
      </w:rPr>
    </w:tblStylePr>
    <w:tblStylePr w:type="firstCol">
      <w:rPr>
        <w:b/>
        <w:bCs/>
        <w:i w:val="0"/>
        <w:iCs w:val="0"/>
        <w:color w:val="000000"/>
      </w:rPr>
    </w:tblStylePr>
    <w:tblStylePr w:type="lastCol">
      <w:rPr>
        <w:b/>
        <w:bCs/>
        <w:i w:val="0"/>
        <w:iCs w:val="0"/>
        <w:color w:val="000000"/>
      </w:rPr>
    </w:tblStylePr>
  </w:style>
  <w:style w:type="table" w:styleId="MediumGrid3-Accent1">
    <w:name w:val="Medium Grid 3 Accent 1"/>
    <w:basedOn w:val="TableNormal"/>
    <w:uiPriority w:val="69"/>
    <w:rsid w:val="00CB0664"/>
    <w:pPr>
      <w:spacing w:after="0" w:line="240" w:lineRule="auto"/>
    </w:pPr>
    <w:tblPr>
      <w:tblStyleRowBandSize w:val="1"/>
      <w:tblStyleColBandSize w:val="1"/>
    </w:tblPr>
    <w:tblStylePr w:type="firstRow">
      <w:rPr>
        <w:b/>
        <w:bCs/>
        <w:i w:val="0"/>
        <w:iCs w:val="0"/>
        <w:color w:val="000000"/>
      </w:rPr>
    </w:tblStylePr>
    <w:tblStylePr w:type="lastRow">
      <w:rPr>
        <w:b/>
        <w:bCs/>
        <w:i w:val="0"/>
        <w:iCs w:val="0"/>
        <w:color w:val="000000"/>
      </w:rPr>
    </w:tblStylePr>
    <w:tblStylePr w:type="firstCol">
      <w:rPr>
        <w:b/>
        <w:bCs/>
        <w:i w:val="0"/>
        <w:iCs w:val="0"/>
        <w:color w:val="000000"/>
      </w:rPr>
    </w:tblStylePr>
    <w:tblStylePr w:type="lastCol">
      <w:rPr>
        <w:b/>
        <w:bCs/>
        <w:i w:val="0"/>
        <w:iCs w:val="0"/>
        <w:color w:val="000000"/>
      </w:rPr>
    </w:tblStylePr>
  </w:style>
  <w:style w:type="table" w:styleId="MediumGrid3-Accent2">
    <w:name w:val="Medium Grid 3 Accent 2"/>
    <w:basedOn w:val="TableNormal"/>
    <w:uiPriority w:val="69"/>
    <w:rsid w:val="00CB0664"/>
    <w:pPr>
      <w:spacing w:after="0" w:line="240" w:lineRule="auto"/>
    </w:pPr>
    <w:tblPr>
      <w:tblStyleRowBandSize w:val="1"/>
      <w:tblStyleColBandSize w:val="1"/>
    </w:tblPr>
    <w:tblStylePr w:type="firstRow">
      <w:rPr>
        <w:b/>
        <w:bCs/>
        <w:i w:val="0"/>
        <w:iCs w:val="0"/>
        <w:color w:val="000000"/>
      </w:rPr>
    </w:tblStylePr>
    <w:tblStylePr w:type="lastRow">
      <w:rPr>
        <w:b/>
        <w:bCs/>
        <w:i w:val="0"/>
        <w:iCs w:val="0"/>
        <w:color w:val="000000"/>
      </w:rPr>
    </w:tblStylePr>
    <w:tblStylePr w:type="firstCol">
      <w:rPr>
        <w:b/>
        <w:bCs/>
        <w:i w:val="0"/>
        <w:iCs w:val="0"/>
        <w:color w:val="000000"/>
      </w:rPr>
    </w:tblStylePr>
    <w:tblStylePr w:type="lastCol">
      <w:rPr>
        <w:b/>
        <w:bCs/>
        <w:i w:val="0"/>
        <w:iCs w:val="0"/>
        <w:color w:val="000000"/>
      </w:rPr>
    </w:tblStylePr>
  </w:style>
  <w:style w:type="table" w:styleId="MediumGrid3-Accent3">
    <w:name w:val="Medium Grid 3 Accent 3"/>
    <w:basedOn w:val="TableNormal"/>
    <w:uiPriority w:val="69"/>
    <w:rsid w:val="00CB0664"/>
    <w:pPr>
      <w:spacing w:after="0" w:line="240" w:lineRule="auto"/>
    </w:pPr>
    <w:tblPr>
      <w:tblStyleRowBandSize w:val="1"/>
      <w:tblStyleColBandSize w:val="1"/>
    </w:tblPr>
    <w:tblStylePr w:type="firstRow">
      <w:rPr>
        <w:b/>
        <w:bCs/>
        <w:i w:val="0"/>
        <w:iCs w:val="0"/>
        <w:color w:val="000000"/>
      </w:rPr>
    </w:tblStylePr>
    <w:tblStylePr w:type="lastRow">
      <w:rPr>
        <w:b/>
        <w:bCs/>
        <w:i w:val="0"/>
        <w:iCs w:val="0"/>
        <w:color w:val="000000"/>
      </w:rPr>
    </w:tblStylePr>
    <w:tblStylePr w:type="firstCol">
      <w:rPr>
        <w:b/>
        <w:bCs/>
        <w:i w:val="0"/>
        <w:iCs w:val="0"/>
        <w:color w:val="000000"/>
      </w:rPr>
    </w:tblStylePr>
    <w:tblStylePr w:type="lastCol">
      <w:rPr>
        <w:b/>
        <w:bCs/>
        <w:i w:val="0"/>
        <w:iCs w:val="0"/>
        <w:color w:val="000000"/>
      </w:rPr>
    </w:tblStylePr>
  </w:style>
  <w:style w:type="table" w:styleId="MediumGrid3-Accent4">
    <w:name w:val="Medium Grid 3 Accent 4"/>
    <w:basedOn w:val="TableNormal"/>
    <w:uiPriority w:val="69"/>
    <w:rsid w:val="00CB0664"/>
    <w:pPr>
      <w:spacing w:after="0" w:line="240" w:lineRule="auto"/>
    </w:pPr>
    <w:tblPr>
      <w:tblStyleRowBandSize w:val="1"/>
      <w:tblStyleColBandSize w:val="1"/>
    </w:tblPr>
    <w:tblStylePr w:type="firstRow">
      <w:rPr>
        <w:b/>
        <w:bCs/>
        <w:i w:val="0"/>
        <w:iCs w:val="0"/>
        <w:color w:val="000000"/>
      </w:rPr>
    </w:tblStylePr>
    <w:tblStylePr w:type="lastRow">
      <w:rPr>
        <w:b/>
        <w:bCs/>
        <w:i w:val="0"/>
        <w:iCs w:val="0"/>
        <w:color w:val="000000"/>
      </w:rPr>
    </w:tblStylePr>
    <w:tblStylePr w:type="firstCol">
      <w:rPr>
        <w:b/>
        <w:bCs/>
        <w:i w:val="0"/>
        <w:iCs w:val="0"/>
        <w:color w:val="000000"/>
      </w:rPr>
    </w:tblStylePr>
    <w:tblStylePr w:type="lastCol">
      <w:rPr>
        <w:b/>
        <w:bCs/>
        <w:i w:val="0"/>
        <w:iCs w:val="0"/>
        <w:color w:val="000000"/>
      </w:rPr>
    </w:tblStylePr>
  </w:style>
  <w:style w:type="table" w:styleId="MediumGrid3-Accent5">
    <w:name w:val="Medium Grid 3 Accent 5"/>
    <w:basedOn w:val="TableNormal"/>
    <w:uiPriority w:val="69"/>
    <w:rsid w:val="00CB0664"/>
    <w:pPr>
      <w:spacing w:after="0" w:line="240" w:lineRule="auto"/>
    </w:pPr>
    <w:tblPr>
      <w:tblStyleRowBandSize w:val="1"/>
      <w:tblStyleColBandSize w:val="1"/>
    </w:tblPr>
    <w:tblStylePr w:type="firstRow">
      <w:rPr>
        <w:b/>
        <w:bCs/>
        <w:i w:val="0"/>
        <w:iCs w:val="0"/>
        <w:color w:val="000000"/>
      </w:rPr>
    </w:tblStylePr>
    <w:tblStylePr w:type="lastRow">
      <w:rPr>
        <w:b/>
        <w:bCs/>
        <w:i w:val="0"/>
        <w:iCs w:val="0"/>
        <w:color w:val="000000"/>
      </w:rPr>
    </w:tblStylePr>
    <w:tblStylePr w:type="firstCol">
      <w:rPr>
        <w:b/>
        <w:bCs/>
        <w:i w:val="0"/>
        <w:iCs w:val="0"/>
        <w:color w:val="000000"/>
      </w:rPr>
    </w:tblStylePr>
    <w:tblStylePr w:type="lastCol">
      <w:rPr>
        <w:b/>
        <w:bCs/>
        <w:i w:val="0"/>
        <w:iCs w:val="0"/>
        <w:color w:val="000000"/>
      </w:rPr>
    </w:tblStylePr>
  </w:style>
  <w:style w:type="table" w:styleId="MediumGrid3-Accent6">
    <w:name w:val="Medium Grid 3 Accent 6"/>
    <w:basedOn w:val="TableNormal"/>
    <w:uiPriority w:val="69"/>
    <w:rsid w:val="00CB0664"/>
    <w:pPr>
      <w:spacing w:after="0" w:line="240" w:lineRule="auto"/>
    </w:pPr>
    <w:tblPr>
      <w:tblStyleRowBandSize w:val="1"/>
      <w:tblStyleColBandSize w:val="1"/>
    </w:tblPr>
    <w:tblStylePr w:type="firstRow">
      <w:rPr>
        <w:b/>
        <w:bCs/>
        <w:i w:val="0"/>
        <w:iCs w:val="0"/>
        <w:color w:val="000000"/>
      </w:rPr>
    </w:tblStylePr>
    <w:tblStylePr w:type="lastRow">
      <w:rPr>
        <w:b/>
        <w:bCs/>
        <w:i w:val="0"/>
        <w:iCs w:val="0"/>
        <w:color w:val="000000"/>
      </w:rPr>
    </w:tblStylePr>
    <w:tblStylePr w:type="firstCol">
      <w:rPr>
        <w:b/>
        <w:bCs/>
        <w:i w:val="0"/>
        <w:iCs w:val="0"/>
        <w:color w:val="000000"/>
      </w:rPr>
    </w:tblStylePr>
    <w:tblStylePr w:type="lastCol">
      <w:rPr>
        <w:b/>
        <w:bCs/>
        <w:i w:val="0"/>
        <w:iCs w:val="0"/>
        <w:color w:val="000000"/>
      </w:rPr>
    </w:tblStylePr>
  </w:style>
  <w:style w:type="table" w:styleId="DarkList">
    <w:name w:val="Dark List"/>
    <w:basedOn w:val="TableNormal"/>
    <w:uiPriority w:val="70"/>
    <w:rsid w:val="00CB0664"/>
    <w:pPr>
      <w:spacing w:after="0" w:line="240" w:lineRule="auto"/>
    </w:pPr>
    <w:tblPr>
      <w:tblStyleRowBandSize w:val="1"/>
      <w:tblStyleColBandSize w:val="1"/>
    </w:tblPr>
    <w:tblStylePr w:type="firstRow">
      <w:rPr>
        <w:b/>
        <w:bCs/>
      </w:rPr>
    </w:tblStylePr>
  </w:style>
  <w:style w:type="table" w:styleId="DarkList-Accent1">
    <w:name w:val="Dark List Accent 1"/>
    <w:basedOn w:val="TableNormal"/>
    <w:uiPriority w:val="70"/>
    <w:rsid w:val="00CB0664"/>
    <w:pPr>
      <w:spacing w:after="0" w:line="240" w:lineRule="auto"/>
    </w:pPr>
    <w:tblPr>
      <w:tblStyleRowBandSize w:val="1"/>
      <w:tblStyleColBandSize w:val="1"/>
    </w:tblPr>
    <w:tblStylePr w:type="firstRow">
      <w:rPr>
        <w:b/>
        <w:bCs/>
      </w:rPr>
    </w:tblStylePr>
  </w:style>
  <w:style w:type="table" w:styleId="DarkList-Accent2">
    <w:name w:val="Dark List Accent 2"/>
    <w:basedOn w:val="TableNormal"/>
    <w:uiPriority w:val="70"/>
    <w:rsid w:val="00CB0664"/>
    <w:pPr>
      <w:spacing w:after="0" w:line="240" w:lineRule="auto"/>
    </w:pPr>
    <w:tblPr>
      <w:tblStyleRowBandSize w:val="1"/>
      <w:tblStyleColBandSize w:val="1"/>
    </w:tblPr>
    <w:tblStylePr w:type="firstRow">
      <w:rPr>
        <w:b/>
        <w:bCs/>
      </w:rPr>
    </w:tblStylePr>
  </w:style>
  <w:style w:type="table" w:styleId="DarkList-Accent3">
    <w:name w:val="Dark List Accent 3"/>
    <w:basedOn w:val="TableNormal"/>
    <w:uiPriority w:val="70"/>
    <w:rsid w:val="00CB0664"/>
    <w:pPr>
      <w:spacing w:after="0" w:line="240" w:lineRule="auto"/>
    </w:pPr>
    <w:tblPr>
      <w:tblStyleRowBandSize w:val="1"/>
      <w:tblStyleColBandSize w:val="1"/>
    </w:tblPr>
    <w:tblStylePr w:type="firstRow">
      <w:rPr>
        <w:b/>
        <w:bCs/>
      </w:rPr>
    </w:tblStylePr>
  </w:style>
  <w:style w:type="table" w:styleId="DarkList-Accent4">
    <w:name w:val="Dark List Accent 4"/>
    <w:basedOn w:val="TableNormal"/>
    <w:uiPriority w:val="70"/>
    <w:rsid w:val="00CB0664"/>
    <w:pPr>
      <w:spacing w:after="0" w:line="240" w:lineRule="auto"/>
    </w:pPr>
    <w:tblPr>
      <w:tblStyleRowBandSize w:val="1"/>
      <w:tblStyleColBandSize w:val="1"/>
    </w:tblPr>
    <w:tblStylePr w:type="firstRow">
      <w:rPr>
        <w:b/>
        <w:bCs/>
      </w:rPr>
    </w:tblStylePr>
  </w:style>
  <w:style w:type="table" w:styleId="DarkList-Accent5">
    <w:name w:val="Dark List Accent 5"/>
    <w:basedOn w:val="TableNormal"/>
    <w:uiPriority w:val="70"/>
    <w:rsid w:val="00CB0664"/>
    <w:pPr>
      <w:spacing w:after="0" w:line="240" w:lineRule="auto"/>
    </w:pPr>
    <w:tblPr>
      <w:tblStyleRowBandSize w:val="1"/>
      <w:tblStyleColBandSize w:val="1"/>
    </w:tblPr>
    <w:tblStylePr w:type="firstRow">
      <w:rPr>
        <w:b/>
        <w:bCs/>
      </w:rPr>
    </w:tblStylePr>
  </w:style>
  <w:style w:type="table" w:styleId="DarkList-Accent6">
    <w:name w:val="Dark List Accent 6"/>
    <w:basedOn w:val="TableNormal"/>
    <w:uiPriority w:val="70"/>
    <w:rsid w:val="00CB0664"/>
    <w:pPr>
      <w:spacing w:after="0" w:line="240" w:lineRule="auto"/>
    </w:pPr>
    <w:tblPr>
      <w:tblStyleRowBandSize w:val="1"/>
      <w:tblStyleColBandSize w:val="1"/>
    </w:tblPr>
    <w:tblStylePr w:type="firstRow">
      <w:rPr>
        <w:b/>
        <w:bCs/>
      </w:rPr>
    </w:tblStylePr>
  </w:style>
  <w:style w:type="table" w:styleId="ColorfulShading">
    <w:name w:val="Colorful Shading"/>
    <w:basedOn w:val="TableNormal"/>
    <w:uiPriority w:val="71"/>
    <w:rsid w:val="00CB0664"/>
    <w:pPr>
      <w:spacing w:after="0" w:line="240" w:lineRule="auto"/>
    </w:pPr>
    <w:tblPr>
      <w:tblStyleRowBandSize w:val="1"/>
      <w:tblStyleColBandSize w:val="1"/>
    </w:tblPr>
    <w:tblStylePr w:type="firstRow">
      <w:rPr>
        <w:b/>
        <w:bCs/>
      </w:rPr>
    </w:tblStylePr>
    <w:tblStylePr w:type="lastRow">
      <w:rPr>
        <w:b/>
        <w:bCs/>
        <w:color w:val="000000"/>
      </w:rPr>
    </w:tblStylePr>
    <w:tblStylePr w:type="firstCol">
      <w:rPr>
        <w:color w:val="000000"/>
      </w:rPr>
    </w:tblStylePr>
    <w:tblStylePr w:type="lastCol">
      <w:rPr>
        <w:color w:val="000000"/>
      </w:r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Pr>
    <w:tblStylePr w:type="firstRow">
      <w:rPr>
        <w:b/>
        <w:bCs/>
      </w:rPr>
    </w:tblStylePr>
    <w:tblStylePr w:type="lastRow">
      <w:rPr>
        <w:b/>
        <w:bCs/>
        <w:color w:val="000000"/>
      </w:rPr>
    </w:tblStylePr>
    <w:tblStylePr w:type="firstCol">
      <w:rPr>
        <w:color w:val="000000"/>
      </w:rPr>
    </w:tblStylePr>
    <w:tblStylePr w:type="lastCol">
      <w:rPr>
        <w:color w:val="000000"/>
      </w:r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Pr>
    <w:tblStylePr w:type="firstRow">
      <w:rPr>
        <w:b/>
        <w:bCs/>
      </w:rPr>
    </w:tblStylePr>
    <w:tblStylePr w:type="lastRow">
      <w:rPr>
        <w:b/>
        <w:bCs/>
        <w:color w:val="000000"/>
      </w:rPr>
    </w:tblStylePr>
    <w:tblStylePr w:type="firstCol">
      <w:rPr>
        <w:color w:val="000000"/>
      </w:rPr>
    </w:tblStylePr>
    <w:tblStylePr w:type="lastCol">
      <w:rPr>
        <w:color w:val="000000"/>
      </w:r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Pr>
    <w:tblStylePr w:type="firstRow">
      <w:rPr>
        <w:b/>
        <w:bCs/>
      </w:rPr>
    </w:tblStylePr>
    <w:tblStylePr w:type="lastRow">
      <w:rPr>
        <w:b/>
        <w:bCs/>
        <w:color w:val="000000"/>
      </w:rPr>
    </w:tblStylePr>
    <w:tblStylePr w:type="firstCol">
      <w:rPr>
        <w:color w:val="000000"/>
      </w:rPr>
    </w:tblStylePr>
    <w:tblStylePr w:type="lastCol">
      <w:rPr>
        <w:color w:val="000000"/>
      </w:r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Pr>
    <w:tblStylePr w:type="firstRow">
      <w:rPr>
        <w:b/>
        <w:bCs/>
      </w:rPr>
    </w:tblStylePr>
    <w:tblStylePr w:type="lastRow">
      <w:rPr>
        <w:b/>
        <w:bCs/>
        <w:color w:val="000000"/>
      </w:rPr>
    </w:tblStylePr>
    <w:tblStylePr w:type="firstCol">
      <w:rPr>
        <w:color w:val="000000"/>
      </w:rPr>
    </w:tblStylePr>
    <w:tblStylePr w:type="lastCol">
      <w:rPr>
        <w:color w:val="000000"/>
      </w:r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Pr>
    <w:tblStylePr w:type="firstRow">
      <w:rPr>
        <w:b/>
        <w:bCs/>
      </w:rPr>
    </w:tblStylePr>
    <w:tblStylePr w:type="lastRow">
      <w:rPr>
        <w:b/>
        <w:bCs/>
        <w:color w:val="000000"/>
      </w:rPr>
    </w:tblStylePr>
    <w:tblStylePr w:type="firstCol">
      <w:rPr>
        <w:color w:val="000000"/>
      </w:rPr>
    </w:tblStylePr>
    <w:tblStylePr w:type="lastCol">
      <w:rPr>
        <w:color w:val="000000"/>
      </w:r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tblPr>
      <w:tblStyleRowBandSize w:val="1"/>
      <w:tblStyleColBandSize w:val="1"/>
    </w:tblPr>
    <w:tblStylePr w:type="firstRow">
      <w:rPr>
        <w:b/>
        <w:bCs/>
        <w:color w:val="000000"/>
      </w:rPr>
    </w:tblStylePr>
    <w:tblStylePr w:type="lastRow">
      <w:rPr>
        <w:b/>
        <w:bCs/>
        <w:color w:val="000000"/>
      </w:rPr>
    </w:tblStylePr>
    <w:tblStylePr w:type="firstCol">
      <w:rPr>
        <w:b/>
        <w:bCs/>
      </w:rPr>
    </w:tblStylePr>
    <w:tblStylePr w:type="lastCol">
      <w:rPr>
        <w:b/>
        <w:bCs/>
      </w:r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blStylePr w:type="firstRow">
      <w:rPr>
        <w:b/>
        <w:bCs/>
        <w:color w:val="000000"/>
      </w:rPr>
    </w:tblStylePr>
    <w:tblStylePr w:type="lastRow">
      <w:rPr>
        <w:b/>
        <w:bCs/>
        <w:color w:val="000000"/>
      </w:rPr>
    </w:tblStylePr>
    <w:tblStylePr w:type="firstCol">
      <w:rPr>
        <w:b/>
        <w:bCs/>
      </w:rPr>
    </w:tblStylePr>
    <w:tblStylePr w:type="lastCol">
      <w:rPr>
        <w:b/>
        <w:bCs/>
      </w:r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blStylePr w:type="firstRow">
      <w:rPr>
        <w:b/>
        <w:bCs/>
        <w:color w:val="000000"/>
      </w:rPr>
    </w:tblStylePr>
    <w:tblStylePr w:type="lastRow">
      <w:rPr>
        <w:b/>
        <w:bCs/>
        <w:color w:val="000000"/>
      </w:rPr>
    </w:tblStylePr>
    <w:tblStylePr w:type="firstCol">
      <w:rPr>
        <w:b/>
        <w:bCs/>
      </w:rPr>
    </w:tblStylePr>
    <w:tblStylePr w:type="lastCol">
      <w:rPr>
        <w:b/>
        <w:bCs/>
      </w:r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blStylePr w:type="firstRow">
      <w:rPr>
        <w:b/>
        <w:bCs/>
        <w:color w:val="000000"/>
      </w:rPr>
    </w:tblStylePr>
    <w:tblStylePr w:type="lastRow">
      <w:rPr>
        <w:b/>
        <w:bCs/>
        <w:color w:val="000000"/>
      </w:rPr>
    </w:tblStylePr>
    <w:tblStylePr w:type="firstCol">
      <w:rPr>
        <w:b/>
        <w:bCs/>
      </w:rPr>
    </w:tblStylePr>
    <w:tblStylePr w:type="lastCol">
      <w:rPr>
        <w:b/>
        <w:bCs/>
      </w:r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blStylePr w:type="firstRow">
      <w:rPr>
        <w:b/>
        <w:bCs/>
        <w:color w:val="000000"/>
      </w:rPr>
    </w:tblStylePr>
    <w:tblStylePr w:type="lastRow">
      <w:rPr>
        <w:b/>
        <w:bCs/>
        <w:color w:val="000000"/>
      </w:rPr>
    </w:tblStylePr>
    <w:tblStylePr w:type="firstCol">
      <w:rPr>
        <w:b/>
        <w:bCs/>
      </w:rPr>
    </w:tblStylePr>
    <w:tblStylePr w:type="lastCol">
      <w:rPr>
        <w:b/>
        <w:bCs/>
      </w:r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blStylePr w:type="firstRow">
      <w:rPr>
        <w:b/>
        <w:bCs/>
        <w:color w:val="000000"/>
      </w:rPr>
    </w:tblStylePr>
    <w:tblStylePr w:type="lastRow">
      <w:rPr>
        <w:b/>
        <w:bCs/>
        <w:color w:val="000000"/>
      </w:rPr>
    </w:tblStylePr>
    <w:tblStylePr w:type="firstCol">
      <w:rPr>
        <w:b/>
        <w:bCs/>
      </w:rPr>
    </w:tblStylePr>
    <w:tblStylePr w:type="lastCol">
      <w:rPr>
        <w:b/>
        <w:bCs/>
      </w:r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blStylePr w:type="firstRow">
      <w:rPr>
        <w:b/>
        <w:bCs/>
        <w:color w:val="000000"/>
      </w:rPr>
    </w:tblStylePr>
    <w:tblStylePr w:type="lastRow">
      <w:rPr>
        <w:b/>
        <w:bCs/>
        <w:color w:val="000000"/>
      </w:rPr>
    </w:tblStylePr>
    <w:tblStylePr w:type="firstCol">
      <w:rPr>
        <w:b/>
        <w:bCs/>
      </w:rPr>
    </w:tblStylePr>
    <w:tblStylePr w:type="lastCol">
      <w:rPr>
        <w:b/>
        <w:bCs/>
      </w:rPr>
    </w:tblStylePr>
  </w:style>
  <w:style w:type="table" w:styleId="ColorfulGrid">
    <w:name w:val="Colorful Grid"/>
    <w:basedOn w:val="TableNormal"/>
    <w:uiPriority w:val="73"/>
    <w:rsid w:val="00CB0664"/>
    <w:pPr>
      <w:spacing w:after="0" w:line="240" w:lineRule="auto"/>
    </w:pPr>
    <w:tblPr>
      <w:tblStyleRowBandSize w:val="1"/>
      <w:tblStyleColBandSize w:val="1"/>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1">
    <w:name w:val="Colorful Grid Accent 1"/>
    <w:basedOn w:val="TableNormal"/>
    <w:uiPriority w:val="73"/>
    <w:rsid w:val="00CB0664"/>
    <w:pPr>
      <w:spacing w:after="0" w:line="240" w:lineRule="auto"/>
    </w:pPr>
    <w:tblPr>
      <w:tblStyleRowBandSize w:val="1"/>
      <w:tblStyleColBandSize w:val="1"/>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2">
    <w:name w:val="Colorful Grid Accent 2"/>
    <w:basedOn w:val="TableNormal"/>
    <w:uiPriority w:val="73"/>
    <w:rsid w:val="00CB0664"/>
    <w:pPr>
      <w:spacing w:after="0" w:line="240" w:lineRule="auto"/>
    </w:pPr>
    <w:tblPr>
      <w:tblStyleRowBandSize w:val="1"/>
      <w:tblStyleColBandSize w:val="1"/>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3">
    <w:name w:val="Colorful Grid Accent 3"/>
    <w:basedOn w:val="TableNormal"/>
    <w:uiPriority w:val="73"/>
    <w:rsid w:val="00CB0664"/>
    <w:pPr>
      <w:spacing w:after="0" w:line="240" w:lineRule="auto"/>
    </w:pPr>
    <w:tblPr>
      <w:tblStyleRowBandSize w:val="1"/>
      <w:tblStyleColBandSize w:val="1"/>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4">
    <w:name w:val="Colorful Grid Accent 4"/>
    <w:basedOn w:val="TableNormal"/>
    <w:uiPriority w:val="73"/>
    <w:rsid w:val="00CB0664"/>
    <w:pPr>
      <w:spacing w:after="0" w:line="240" w:lineRule="auto"/>
    </w:pPr>
    <w:tblPr>
      <w:tblStyleRowBandSize w:val="1"/>
      <w:tblStyleColBandSize w:val="1"/>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5">
    <w:name w:val="Colorful Grid Accent 5"/>
    <w:basedOn w:val="TableNormal"/>
    <w:uiPriority w:val="73"/>
    <w:rsid w:val="00CB0664"/>
    <w:pPr>
      <w:spacing w:after="0" w:line="240" w:lineRule="auto"/>
    </w:pPr>
    <w:tblPr>
      <w:tblStyleRowBandSize w:val="1"/>
      <w:tblStyleColBandSize w:val="1"/>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6">
    <w:name w:val="Colorful Grid Accent 6"/>
    <w:basedOn w:val="TableNormal"/>
    <w:uiPriority w:val="73"/>
    <w:rsid w:val="00CB0664"/>
    <w:pPr>
      <w:spacing w:after="0" w:line="240" w:lineRule="auto"/>
    </w:pPr>
    <w:tblPr>
      <w:tblStyleRowBandSize w:val="1"/>
      <w:tblStyleColBandSize w:val="1"/>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character" w:styleId="Hyperlink">
    <w:name w:val="Hyperlink"/>
    <w:basedOn w:val="DefaultParagraphFont"/>
    <w:uiPriority w:val="99"/>
    <w:unhideWhenUsed/>
    <w:rsid w:val="00154D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cr2512728@students.icdfa.edu.ng"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5650</Words>
  <Characters>34071</Characters>
  <Application>Microsoft Office Word</Application>
  <DocSecurity>0</DocSecurity>
  <Lines>1135</Lines>
  <Paragraphs>651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Abimbola Sanusi</cp:lastModifiedBy>
  <cp:revision>2</cp:revision>
  <dcterms:created xsi:type="dcterms:W3CDTF">2026-10-23T21:25:00Z</dcterms:created>
  <dcterms:modified xsi:type="dcterms:W3CDTF">2026-10-23T21:25:00Z</dcterms:modified>
  <cp:category/>
</cp:coreProperties>
</file>