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t xml:space="preserve">FundCo AI V2 Architecture Document</w:t>
      </w:r>
    </w:p>
    <w:p>
      <w:pPr>
        <w:pStyle w:val="Subtitle"/>
      </w:pPr>
      <w:r>
        <w:rPr/>
        <w:t xml:space="preserve">Future workspace target - generated April 28, 2026</w:t>
      </w:r>
    </w:p>
    <w:p>
      <w:pPr>
        <w:pStyle w:val="Heading1"/>
      </w:pPr>
      <w:r>
        <w:rPr/>
        <w:t xml:space="preserve">1. Purpose</w:t>
      </w:r>
    </w:p>
    <w:p>
      <w:pPr>
        <w:pStyle w:val="BodyText"/>
      </w:pPr>
      <w:r>
        <w:rPr/>
        <w:t xml:space="preserve">This document defines the target architecture for Version 2 of FundCo AI in the future directory. Version 2 is not a feature expansion of the current task management system. It is the transition from a manually operated operations platform into an AI-managed execution platform that can observe work, create structured actions, monitor delivery, identify risk, escalate exceptions, and give leadership a tighter operating surface.</w:t>
      </w:r>
    </w:p>
    <w:p>
      <w:pPr>
        <w:pStyle w:val="BodyText"/>
      </w:pPr>
      <w:r>
        <w:rPr/>
        <w:t xml:space="preserve">The architecture must preserve delivery speed while improving system correctness, extensibility, auditability, and operational trust. The current stack is already broad: user backend, admin backend, shared real-time notifications, tasks, projects, goals, reports, meetings, chat, files, reminders, training, and performance. V2 must build on that reality rather than reset it.</w:t>
      </w:r>
    </w:p>
    <w:p>
      <w:pPr>
        <w:pStyle w:val="Heading1"/>
      </w:pPr>
      <w:r>
        <w:rPr/>
        <w:t xml:space="preserve">2. Architecture objectives</w:t>
      </w:r>
    </w:p>
    <w:p>
      <w:pPr>
        <w:pStyle w:val="Bullet"/>
      </w:pPr>
      <w:r>
        <w:rPr/>
        <w:t xml:space="preserve">- Convert the current product from a set of operational modules into a coherent company execution engine.</w:t>
      </w:r>
    </w:p>
    <w:p>
      <w:pPr>
        <w:pStyle w:val="Bullet"/>
      </w:pPr>
      <w:r>
        <w:rPr/>
        <w:t xml:space="preserve">- Create a unified event layer that every future AI and analytics capability depends on.</w:t>
      </w:r>
    </w:p>
    <w:p>
      <w:pPr>
        <w:pStyle w:val="Bullet"/>
      </w:pPr>
      <w:r>
        <w:rPr/>
        <w:t xml:space="preserve">- Replace duplicated business logic across the user and admin backends with shared domain services and explicit contracts.</w:t>
      </w:r>
    </w:p>
    <w:p>
      <w:pPr>
        <w:pStyle w:val="Bullet"/>
      </w:pPr>
      <w:r>
        <w:rPr/>
        <w:t xml:space="preserve">- Introduce safe AI action execution with confidence, traceability, policy checks, and human override.</w:t>
      </w:r>
    </w:p>
    <w:p>
      <w:pPr>
        <w:pStyle w:val="Bullet"/>
      </w:pPr>
      <w:r>
        <w:rPr/>
        <w:t xml:space="preserve">- Support progressive expansion into HR, Finance, and multi-company operations without redesigning the platform again.</w:t>
      </w:r>
    </w:p>
    <w:p>
      <w:pPr>
        <w:pStyle w:val="Bullet"/>
      </w:pPr>
      <w:r>
        <w:rPr/>
        <w:t xml:space="preserve">- Maintain strong security, auditability, and operational observability at every phase.</w:t>
      </w:r>
    </w:p>
    <w:p>
      <w:pPr>
        <w:pStyle w:val="Heading1"/>
      </w:pPr>
      <w:r>
        <w:rPr/>
        <w:t xml:space="preserve">3. Architecture principles</w:t>
      </w:r>
    </w:p>
    <w:p>
      <w:pPr>
        <w:pStyle w:val="BodyText"/>
      </w:pPr>
      <w:r>
        <w:rPr/>
        <w:t xml:space="preserve">1. Modular monolith first. V2 should remain a modular monolith until operational load, organizational scale, or deployment isolation clearly justify service extraction. This reduces failure modes and preserves delivery velocity.</w:t>
      </w:r>
    </w:p>
    <w:p>
      <w:pPr>
        <w:pStyle w:val="BodyText"/>
      </w:pPr>
      <w:r>
        <w:rPr/>
        <w:t xml:space="preserve">2. Domain boundaries over page boundaries. Backend design should be organized by operational domains such as tasks, projects, goals, meetings, reports, notifications, AI actions, and company events, not by whichever screen currently calls them.</w:t>
      </w:r>
    </w:p>
    <w:p>
      <w:pPr>
        <w:pStyle w:val="BodyText"/>
      </w:pPr>
      <w:r>
        <w:rPr/>
        <w:t xml:space="preserve">3. Event first, AI second. AI logic must consume a normalized operational event stream rather than ad hoc controller state.</w:t>
      </w:r>
    </w:p>
    <w:p>
      <w:pPr>
        <w:pStyle w:val="BodyText"/>
      </w:pPr>
      <w:r>
        <w:rPr/>
        <w:t xml:space="preserve">4. Audit first. Every AI recommendation and autonomous action must be explainable and replayable.</w:t>
      </w:r>
    </w:p>
    <w:p>
      <w:pPr>
        <w:pStyle w:val="BodyText"/>
      </w:pPr>
      <w:r>
        <w:rPr/>
        <w:t xml:space="preserve">5. Policy before automation. The system must not execute sensitive actions unless permissions, approval requirements, and escalation rules are explicit.</w:t>
      </w:r>
    </w:p>
    <w:p>
      <w:pPr>
        <w:pStyle w:val="BodyText"/>
      </w:pPr>
      <w:r>
        <w:rPr/>
        <w:t xml:space="preserve">6. Progressive autonomy. V2 should begin with suggestion and exception handling before moving into broader automatic execution.</w:t>
      </w:r>
    </w:p>
    <w:p>
      <w:pPr>
        <w:pStyle w:val="BodyText"/>
      </w:pPr>
      <w:r>
        <w:rPr/>
        <w:t xml:space="preserve">7. Read models for control surfaces. Executive and operations pages should be backed by purpose-built read models, not by stitching together live transactional queries on every request.</w:t>
      </w:r>
    </w:p>
    <w:p>
      <w:pPr>
        <w:pStyle w:val="Heading1"/>
      </w:pPr>
      <w:r>
        <w:rPr/>
        <w:t xml:space="preserve">4. Current baseline in the future codebase</w:t>
      </w:r>
    </w:p>
    <w:p>
      <w:pPr>
        <w:pStyle w:val="BodyText"/>
      </w:pPr>
      <w:r>
        <w:rPr/>
        <w:t xml:space="preserve">The future workspace currently has a shared user backend with controllers, routes, models, middleware, utils, a small services folder, and a socket layer. The admin panel backend duplicates or mirrors multiple operational domains with its own controllers, routes, auth, team filtering, notifications, and user-backend proxy utilities.</w:t>
      </w:r>
    </w:p>
    <w:p>
      <w:pPr>
        <w:pStyle w:val="BodyText"/>
      </w:pPr>
      <w:r>
        <w:rPr/>
        <w:t xml:space="preserve">The frontends are split into a richer user application and an admin application, each with their own pages, context layers, security helpers, and navigation structures. This structure is good enough for V1 but will become brittle under V2 without refactoring because the AI management layer needs shared operational behavior and unified event semantics across both workspaces.</w:t>
      </w:r>
    </w:p>
    <w:p>
      <w:pPr>
        <w:pStyle w:val="Heading1"/>
      </w:pPr>
      <w:r>
        <w:rPr/>
        <w:t xml:space="preserve">5. Target system context</w:t>
      </w:r>
    </w:p>
    <w:p>
      <w:pPr>
        <w:pStyle w:val="Bullet"/>
      </w:pPr>
      <w:r>
        <w:rPr/>
        <w:t xml:space="preserve">- Transactional Core: tasks, projects, goals, meetings, reports, reminders, notifications, chat, files, training, and users.</w:t>
      </w:r>
    </w:p>
    <w:p>
      <w:pPr>
        <w:pStyle w:val="Bullet"/>
      </w:pPr>
      <w:r>
        <w:rPr/>
        <w:t xml:space="preserve">- Operational Event Layer: normalized immutable events emitted from transactional state changes and significant user actions.</w:t>
      </w:r>
    </w:p>
    <w:p>
      <w:pPr>
        <w:pStyle w:val="Bullet"/>
      </w:pPr>
      <w:r>
        <w:rPr/>
        <w:t xml:space="preserve">- Operational Intelligence Layer: workload models, dependency graphs, execution risk scoring, escalation state, company health scoring, and AI memory snapshots.</w:t>
      </w:r>
    </w:p>
    <w:p>
      <w:pPr>
        <w:pStyle w:val="Bullet"/>
      </w:pPr>
      <w:r>
        <w:rPr/>
        <w:t xml:space="preserve">- AI Decision Layer: assignment recommendations, auto-generated actions, meeting intelligence, report intelligence, project risk analysis, escalation recommendations, and summary generation.</w:t>
      </w:r>
    </w:p>
    <w:p>
      <w:pPr>
        <w:pStyle w:val="Bullet"/>
      </w:pPr>
      <w:r>
        <w:rPr/>
        <w:t xml:space="preserve">- Experience Layer: user app, admin app, management inbox, operations console, AI Super Admin, notification surfaces, and reporting surfaces.</w:t>
      </w:r>
    </w:p>
    <w:p>
      <w:pPr>
        <w:pStyle w:val="Bullet"/>
      </w:pPr>
      <w:r>
        <w:rPr/>
        <w:t xml:space="preserve">- Governance Layer: policy engine, approval rules, role access, audit logs, security controls, model guardrails, and feature flags.</w:t>
      </w:r>
    </w:p>
    <w:p>
      <w:pPr>
        <w:pStyle w:val="Heading1"/>
      </w:pPr>
      <w:r>
        <w:rPr/>
        <w:t xml:space="preserve">6. Proposed runtime topology</w:t>
      </w:r>
    </w:p>
    <w:p>
      <w:pPr>
        <w:pStyle w:val="Heading2"/>
      </w:pPr>
      <w:r>
        <w:rPr/>
        <w:t xml:space="preserve">6.1 Core API runtime</w:t>
      </w:r>
    </w:p>
    <w:p>
      <w:pPr>
        <w:pStyle w:val="BodyText"/>
      </w:pPr>
      <w:r>
        <w:rPr/>
        <w:t xml:space="preserve">Keep the main Express application in future/backend as the operational system of record. Controllers should become thin orchestration points that call domain services. Routes should validate input, enforce authentication and authorization, invoke a service, and return a contract-stable response.</w:t>
      </w:r>
    </w:p>
    <w:p>
      <w:pPr>
        <w:pStyle w:val="Heading2"/>
      </w:pPr>
      <w:r>
        <w:rPr/>
        <w:t xml:space="preserve">6.2 Admin API runtime</w:t>
      </w:r>
    </w:p>
    <w:p>
      <w:pPr>
        <w:pStyle w:val="BodyText"/>
      </w:pPr>
      <w:r>
        <w:rPr/>
        <w:t xml:space="preserve">Future/adminpanel/backend should progressively become a backend-for-frontend and governance boundary rather than a second business logic engine. It should own admin authentication, admin-only policy enforcement, admin-specific notifications, and orchestration into shared core services. Business rules for tasks, projects, goals, and AI actions should live once.</w:t>
      </w:r>
    </w:p>
    <w:p>
      <w:pPr>
        <w:pStyle w:val="Heading2"/>
      </w:pPr>
      <w:r>
        <w:rPr/>
        <w:t xml:space="preserve">6.3 Job and worker runtime</w:t>
      </w:r>
    </w:p>
    <w:p>
      <w:pPr>
        <w:pStyle w:val="BodyText"/>
      </w:pPr>
      <w:r>
        <w:rPr/>
        <w:t xml:space="preserve">Introduce a worker layer for asynchronous execution. Background processing must cover event fan-out, AI analysis, action generation, escalation evaluation, workload recalculation, read-model refresh, and daily company summary generation. Request-response controllers must not be responsible for these long-running processes.</w:t>
      </w:r>
    </w:p>
    <w:p>
      <w:pPr>
        <w:pStyle w:val="Heading2"/>
      </w:pPr>
      <w:r>
        <w:rPr/>
        <w:t xml:space="preserve">6.4 Real-time runtime</w:t>
      </w:r>
    </w:p>
    <w:p>
      <w:pPr>
        <w:pStyle w:val="BodyText"/>
      </w:pPr>
      <w:r>
        <w:rPr/>
        <w:t xml:space="preserve">Socket.IO remains the real-time channel, but future event delivery should flow from domain events and notification projections rather than from scattered controller-level emits. This keeps notification behavior consistent and testable.</w:t>
      </w:r>
    </w:p>
    <w:p>
      <w:pPr>
        <w:pStyle w:val="Heading1"/>
      </w:pPr>
      <w:r>
        <w:rPr/>
        <w:t xml:space="preserve">7. Target backend layering</w:t>
      </w:r>
    </w:p>
    <w:p>
      <w:pPr>
        <w:pStyle w:val="Bullet"/>
      </w:pPr>
      <w:r>
        <w:rPr/>
        <w:t xml:space="preserve">- Routes: input contract and auth boundary.</w:t>
      </w:r>
    </w:p>
    <w:p>
      <w:pPr>
        <w:pStyle w:val="Bullet"/>
      </w:pPr>
      <w:r>
        <w:rPr/>
        <w:t xml:space="preserve">- Controllers: orchestration only.</w:t>
      </w:r>
    </w:p>
    <w:p>
      <w:pPr>
        <w:pStyle w:val="Bullet"/>
      </w:pPr>
      <w:r>
        <w:rPr/>
        <w:t xml:space="preserve">- Domain services: business rules and workflows.</w:t>
      </w:r>
    </w:p>
    <w:p>
      <w:pPr>
        <w:pStyle w:val="Bullet"/>
      </w:pPr>
      <w:r>
        <w:rPr/>
        <w:t xml:space="preserve">- Repositories or model access helpers: persistence and query specialization.</w:t>
      </w:r>
    </w:p>
    <w:p>
      <w:pPr>
        <w:pStyle w:val="Bullet"/>
      </w:pPr>
      <w:r>
        <w:rPr/>
        <w:t xml:space="preserve">- Event publishers: operational event emission.</w:t>
      </w:r>
    </w:p>
    <w:p>
      <w:pPr>
        <w:pStyle w:val="Bullet"/>
      </w:pPr>
      <w:r>
        <w:rPr/>
        <w:t xml:space="preserve">- Read model projectors: materialized views for admin and analytics surfaces.</w:t>
      </w:r>
    </w:p>
    <w:p>
      <w:pPr>
        <w:pStyle w:val="Bullet"/>
      </w:pPr>
      <w:r>
        <w:rPr/>
        <w:t xml:space="preserve">- Worker handlers: async operational processing.</w:t>
      </w:r>
    </w:p>
    <w:p>
      <w:pPr>
        <w:pStyle w:val="Bullet"/>
      </w:pPr>
      <w:r>
        <w:rPr/>
        <w:t xml:space="preserve">- Policy services: permissions, approvals, escalation rules, and autonomy gates.</w:t>
      </w:r>
    </w:p>
    <w:p>
      <w:pPr>
        <w:pStyle w:val="Heading1"/>
      </w:pPr>
      <w:r>
        <w:rPr/>
        <w:t xml:space="preserve">8. Target domain boundaries</w:t>
      </w:r>
    </w:p>
    <w:p>
      <w:pPr>
        <w:pStyle w:val="Heading2"/>
      </w:pPr>
      <w:r>
        <w:rPr/>
        <w:t xml:space="preserve">8.1 Execution domain</w:t>
      </w:r>
    </w:p>
    <w:p>
      <w:pPr>
        <w:pStyle w:val="BodyText"/>
      </w:pPr>
      <w:r>
        <w:rPr/>
        <w:t xml:space="preserve">Tasks, projects, goals, dependencies, assignments, submissions, approvals, rejections, checklists, and execution states. This is the central domain for V2.</w:t>
      </w:r>
    </w:p>
    <w:p>
      <w:pPr>
        <w:pStyle w:val="Heading2"/>
      </w:pPr>
      <w:r>
        <w:rPr/>
        <w:t xml:space="preserve">8.2 Collaboration domain</w:t>
      </w:r>
    </w:p>
    <w:p>
      <w:pPr>
        <w:pStyle w:val="BodyText"/>
      </w:pPr>
      <w:r>
        <w:rPr/>
        <w:t xml:space="preserve">Team chat, meetings, meeting transcripts or action extraction, comments, social interaction, and operational communication signals.</w:t>
      </w:r>
    </w:p>
    <w:p>
      <w:pPr>
        <w:pStyle w:val="Heading2"/>
      </w:pPr>
      <w:r>
        <w:rPr/>
        <w:t xml:space="preserve">8.3 Reporting domain</w:t>
      </w:r>
    </w:p>
    <w:p>
      <w:pPr>
        <w:pStyle w:val="BodyText"/>
      </w:pPr>
      <w:r>
        <w:rPr/>
        <w:t xml:space="preserve">Reports, report review, report-derived risks, report-derived actions, and summary production.</w:t>
      </w:r>
    </w:p>
    <w:p>
      <w:pPr>
        <w:pStyle w:val="Heading2"/>
      </w:pPr>
      <w:r>
        <w:rPr/>
        <w:t xml:space="preserve">8.4 Notification and escalation domain</w:t>
      </w:r>
    </w:p>
    <w:p>
      <w:pPr>
        <w:pStyle w:val="BodyText"/>
      </w:pPr>
      <w:r>
        <w:rPr/>
        <w:t xml:space="preserve">Notifications, escalation cases, inbox items, reminders, acknowledgement states, and exception routing.</w:t>
      </w:r>
    </w:p>
    <w:p>
      <w:pPr>
        <w:pStyle w:val="Heading2"/>
      </w:pPr>
      <w:r>
        <w:rPr/>
        <w:t xml:space="preserve">8.5 Intelligence domain</w:t>
      </w:r>
    </w:p>
    <w:p>
      <w:pPr>
        <w:pStyle w:val="BodyText"/>
      </w:pPr>
      <w:r>
        <w:rPr/>
        <w:t xml:space="preserve">Operational event ingestion, workload scoring, dependency resolution, company health, execution risk, AI memory, and recommendation generation.</w:t>
      </w:r>
    </w:p>
    <w:p>
      <w:pPr>
        <w:pStyle w:val="Heading2"/>
      </w:pPr>
      <w:r>
        <w:rPr/>
        <w:t xml:space="preserve">8.6 Governance domain</w:t>
      </w:r>
    </w:p>
    <w:p>
      <w:pPr>
        <w:pStyle w:val="BodyText"/>
      </w:pPr>
      <w:r>
        <w:rPr/>
        <w:t xml:space="preserve">Permissions, approval rules, audit logging, feature flags, autonomy controls, organization rules, and later multi-entity data boundaries.</w:t>
      </w:r>
    </w:p>
    <w:p>
      <w:pPr>
        <w:pStyle w:val="Heading1"/>
      </w:pPr>
      <w:r>
        <w:rPr/>
        <w:t xml:space="preserve">9. Core V2 modules and architectural placement</w:t>
      </w:r>
    </w:p>
    <w:p>
      <w:pPr>
        <w:pStyle w:val="Heading2"/>
      </w:pPr>
      <w:r>
        <w:rPr/>
        <w:t xml:space="preserve">9.1 AI Assignment Engine</w:t>
      </w:r>
    </w:p>
    <w:p>
      <w:pPr>
        <w:pStyle w:val="BodyText"/>
      </w:pPr>
      <w:r>
        <w:rPr/>
        <w:t xml:space="preserve">Consumes event streams, workload snapshots, role responsibilities, and dependency context. Produces suggested or executable assignments with due-date recommendations and reason codes.</w:t>
      </w:r>
    </w:p>
    <w:p>
      <w:pPr>
        <w:pStyle w:val="Heading2"/>
      </w:pPr>
      <w:r>
        <w:rPr/>
        <w:t xml:space="preserve">9.2 AI Escalation Engine</w:t>
      </w:r>
    </w:p>
    <w:p>
      <w:pPr>
        <w:pStyle w:val="BodyText"/>
      </w:pPr>
      <w:r>
        <w:rPr/>
        <w:t xml:space="preserve">Consumes incomplete work, missed deadlines, unacknowledged tasks, and blocked dependencies. Produces escalation cases, follow-up actions, and inbox alerts.</w:t>
      </w:r>
    </w:p>
    <w:p>
      <w:pPr>
        <w:pStyle w:val="Heading2"/>
      </w:pPr>
      <w:r>
        <w:rPr/>
        <w:t xml:space="preserve">9.3 AI Workload Balancer</w:t>
      </w:r>
    </w:p>
    <w:p>
      <w:pPr>
        <w:pStyle w:val="BodyText"/>
      </w:pPr>
      <w:r>
        <w:rPr/>
        <w:t xml:space="preserve">Consumes task allocations, project load, deadlines, role capacity, and owner history. Produces workload risk scores, reassignment suggestions, and capacity warnings.</w:t>
      </w:r>
    </w:p>
    <w:p>
      <w:pPr>
        <w:pStyle w:val="Heading2"/>
      </w:pPr>
      <w:r>
        <w:rPr/>
        <w:t xml:space="preserve">9.4 AI Meeting Intelligence</w:t>
      </w:r>
    </w:p>
    <w:p>
      <w:pPr>
        <w:pStyle w:val="BodyText"/>
      </w:pPr>
      <w:r>
        <w:rPr/>
        <w:t xml:space="preserve">Consumes meeting records, agendas, outcomes, and participant context. Produces action items, owners, deadlines, unresolved issues, and summary documents.</w:t>
      </w:r>
    </w:p>
    <w:p>
      <w:pPr>
        <w:pStyle w:val="Heading2"/>
      </w:pPr>
      <w:r>
        <w:rPr/>
        <w:t xml:space="preserve">9.5 AI Report Intelligence</w:t>
      </w:r>
    </w:p>
    <w:p>
      <w:pPr>
        <w:pStyle w:val="BodyText"/>
      </w:pPr>
      <w:r>
        <w:rPr/>
        <w:t xml:space="preserve">Consumes submitted reports and review feedback. Produces extracted blockers, action items, risk summaries, and follow-up recommendations.</w:t>
      </w:r>
    </w:p>
    <w:p>
      <w:pPr>
        <w:pStyle w:val="Heading2"/>
      </w:pPr>
      <w:r>
        <w:rPr/>
        <w:t xml:space="preserve">9.6 AI Project Risk Monitor</w:t>
      </w:r>
    </w:p>
    <w:p>
      <w:pPr>
        <w:pStyle w:val="BodyText"/>
      </w:pPr>
      <w:r>
        <w:rPr/>
        <w:t xml:space="preserve">Consumes project, goal, and task signals to identify milestone drift, repeated slippage, owner overload, and delivery risk.</w:t>
      </w:r>
    </w:p>
    <w:p>
      <w:pPr>
        <w:pStyle w:val="Heading2"/>
      </w:pPr>
      <w:r>
        <w:rPr/>
        <w:t xml:space="preserve">9.7 AI Management Inbox</w:t>
      </w:r>
    </w:p>
    <w:p>
      <w:pPr>
        <w:pStyle w:val="BodyText"/>
      </w:pPr>
      <w:r>
        <w:rPr/>
        <w:t xml:space="preserve">Provides a unified operational queue of decisions, exceptions, approvals, escalations, and AI-generated actions requiring human confirmation.</w:t>
      </w:r>
    </w:p>
    <w:p>
      <w:pPr>
        <w:pStyle w:val="Heading2"/>
      </w:pPr>
      <w:r>
        <w:rPr/>
        <w:t xml:space="preserve">9.8 AI Operations Console</w:t>
      </w:r>
    </w:p>
    <w:p>
      <w:pPr>
        <w:pStyle w:val="BodyText"/>
      </w:pPr>
      <w:r>
        <w:rPr/>
        <w:t xml:space="preserve">Provides cross-company or cross-team visibility of execution health, risks, delayed work, backlog, and trend indicators.</w:t>
      </w:r>
    </w:p>
    <w:p>
      <w:pPr>
        <w:pStyle w:val="Heading2"/>
      </w:pPr>
      <w:r>
        <w:rPr/>
        <w:t xml:space="preserve">9.9 AI Company Summary Engine</w:t>
      </w:r>
    </w:p>
    <w:p>
      <w:pPr>
        <w:pStyle w:val="BodyText"/>
      </w:pPr>
      <w:r>
        <w:rPr/>
        <w:t xml:space="preserve">Produces operational summaries by team, unit, executive view, and company view based on event and read-model data.</w:t>
      </w:r>
    </w:p>
    <w:p>
      <w:pPr>
        <w:pStyle w:val="Heading2"/>
      </w:pPr>
      <w:r>
        <w:rPr/>
        <w:t xml:space="preserve">9.10 AI Super Admin</w:t>
      </w:r>
    </w:p>
    <w:p>
      <w:pPr>
        <w:pStyle w:val="BodyText"/>
      </w:pPr>
      <w:r>
        <w:rPr/>
        <w:t xml:space="preserve">Acts as the top operating surface that coordinates recommendations, exceptions, workload issues, and policy-aware action execution.</w:t>
      </w:r>
    </w:p>
    <w:p>
      <w:pPr>
        <w:pStyle w:val="Heading1"/>
      </w:pPr>
      <w:r>
        <w:rPr/>
        <w:t xml:space="preserve">10. Data and state architecture</w:t>
      </w:r>
    </w:p>
    <w:p>
      <w:pPr>
        <w:pStyle w:val="BodyText"/>
      </w:pPr>
      <w:r>
        <w:rPr/>
        <w:t xml:space="preserve">V2 needs a split between transactional data and operational intelligence data. Transactional collections remain authoritative for domain entities such as tasks, projects, goals, meetings, and reports. Intelligence collections hold derived state such as event streams, workload snapshots, dependency edges, risk scores, escalation cases, AI actions, and company summary snapshots.</w:t>
      </w:r>
    </w:p>
    <w:p>
      <w:pPr>
        <w:pStyle w:val="Bullet"/>
      </w:pPr>
      <w:r>
        <w:rPr/>
        <w:t xml:space="preserve">- Transactional writes must publish events.</w:t>
      </w:r>
    </w:p>
    <w:p>
      <w:pPr>
        <w:pStyle w:val="Bullet"/>
      </w:pPr>
      <w:r>
        <w:rPr/>
        <w:t xml:space="preserve">- Derived projections must be rebuildable from authoritative events.</w:t>
      </w:r>
    </w:p>
    <w:p>
      <w:pPr>
        <w:pStyle w:val="Bullet"/>
      </w:pPr>
      <w:r>
        <w:rPr/>
        <w:t xml:space="preserve">- AI-produced state must be tagged with source model, prompt version, confidence, and timestamp.</w:t>
      </w:r>
    </w:p>
    <w:p>
      <w:pPr>
        <w:pStyle w:val="Bullet"/>
      </w:pPr>
      <w:r>
        <w:rPr/>
        <w:t xml:space="preserve">- Read models must be optimized for admin and reporting surfaces.</w:t>
      </w:r>
    </w:p>
    <w:p>
      <w:pPr>
        <w:pStyle w:val="Heading1"/>
      </w:pPr>
      <w:r>
        <w:rPr/>
        <w:t xml:space="preserve">11. Security and governance architecture</w:t>
      </w:r>
    </w:p>
    <w:p>
      <w:pPr>
        <w:pStyle w:val="BodyText"/>
      </w:pPr>
      <w:r>
        <w:rPr/>
        <w:t xml:space="preserve">The AI layer must inherit the hardened security work already introduced in future. Every AI-triggered action must evaluate user role, team visibility, approval authority, and autonomy policy. No action should bypass current assignment and approval rules.</w:t>
      </w:r>
    </w:p>
    <w:p>
      <w:pPr>
        <w:pStyle w:val="Bullet"/>
      </w:pPr>
      <w:r>
        <w:rPr/>
        <w:t xml:space="preserve">- All AI actions need actor attribution, even when the actor is a system agent.</w:t>
      </w:r>
    </w:p>
    <w:p>
      <w:pPr>
        <w:pStyle w:val="Bullet"/>
      </w:pPr>
      <w:r>
        <w:rPr/>
        <w:t xml:space="preserve">- Critical decisions require approval workflows until the policy engine marks them safe for autonomous execution.</w:t>
      </w:r>
    </w:p>
    <w:p>
      <w:pPr>
        <w:pStyle w:val="Bullet"/>
      </w:pPr>
      <w:r>
        <w:rPr/>
        <w:t xml:space="preserve">- Entity-level scoping must be enforced before multi-company features go live.</w:t>
      </w:r>
    </w:p>
    <w:p>
      <w:pPr>
        <w:pStyle w:val="Bullet"/>
      </w:pPr>
      <w:r>
        <w:rPr/>
        <w:t xml:space="preserve">- Audit records must include old state, new state, triggering event, reason, model source, and reviewer outcome where applicable.</w:t>
      </w:r>
    </w:p>
    <w:p>
      <w:pPr>
        <w:pStyle w:val="Heading1"/>
      </w:pPr>
      <w:r>
        <w:rPr/>
        <w:t xml:space="preserve">12. Observability and operations</w:t>
      </w:r>
    </w:p>
    <w:p>
      <w:pPr>
        <w:pStyle w:val="BodyText"/>
      </w:pPr>
      <w:r>
        <w:rPr/>
        <w:t xml:space="preserve">V2 cannot be operated blind. Introduce structured logging, queue metrics, event lag metrics, model failure metrics, action approval rates, exception backlog size, risk trend metrics, reminder latency, and notification delivery success. Admin users must see operational health of the platform itself, not only business health.</w:t>
      </w:r>
    </w:p>
    <w:p>
      <w:pPr>
        <w:pStyle w:val="Heading1"/>
      </w:pPr>
      <w:r>
        <w:rPr/>
        <w:t xml:space="preserve">13. Rollout strategy</w:t>
      </w:r>
    </w:p>
    <w:p>
      <w:pPr>
        <w:pStyle w:val="BodyText"/>
      </w:pPr>
      <w:r>
        <w:rPr/>
        <w:t xml:space="preserve">V2 should ship in controlled layers. Phase 1 is architecture and event foundations. Phase 2 is recommendation-first AI modules. Phase 3 is management-by-exception surfaces. Phase 4 is HR and Finance linkage. Phase 5 is multi-company and global controls. No phase should advance without integration tests, replay tests, and operational sign-off.</w:t>
      </w:r>
    </w:p>
    <w:p>
      <w:pPr>
        <w:pStyle w:val="Heading1"/>
      </w:pPr>
      <w:r>
        <w:rPr/>
        <w:t xml:space="preserve">14. Definition of architectural readiness</w:t>
      </w:r>
    </w:p>
    <w:p>
      <w:pPr>
        <w:pStyle w:val="Bullet"/>
      </w:pPr>
      <w:r>
        <w:rPr/>
        <w:t xml:space="preserve">- Shared domain services replace duplicated business logic for the main execution modules.</w:t>
      </w:r>
    </w:p>
    <w:p>
      <w:pPr>
        <w:pStyle w:val="Bullet"/>
      </w:pPr>
      <w:r>
        <w:rPr/>
        <w:t xml:space="preserve">- An operational event model exists and is emitted consistently from the core modules.</w:t>
      </w:r>
    </w:p>
    <w:p>
      <w:pPr>
        <w:pStyle w:val="Bullet"/>
      </w:pPr>
      <w:r>
        <w:rPr/>
        <w:t xml:space="preserve">- Async worker execution is available for event processing and AI jobs.</w:t>
      </w:r>
    </w:p>
    <w:p>
      <w:pPr>
        <w:pStyle w:val="Bullet"/>
      </w:pPr>
      <w:r>
        <w:rPr/>
        <w:t xml:space="preserve">- The admin UX can consume read models and inbox items rather than raw transactional stitching.</w:t>
      </w:r>
    </w:p>
    <w:p>
      <w:pPr>
        <w:pStyle w:val="Bullet"/>
      </w:pPr>
      <w:r>
        <w:rPr/>
        <w:t xml:space="preserve">- Security, audit, and observability are strong enough to support recommendation and exception workflows.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eastAsia="Calibri"/>
        <w:sz w:val="22"/>
        <w:szCs w:val="22"/>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240"/>
    </w:pPr>
    <w:rPr>
      <w:b/>
      <w:color w:val="1F3A5F"/>
      <w:sz w:val="34"/>
      <w:szCs w:val="34"/>
    </w:rPr>
  </w:style>
  <w:style w:type="paragraph" w:styleId="Subtitle">
    <w:name w:val="Subtitle"/>
    <w:basedOn w:val="Normal"/>
    <w:qFormat/>
    <w:pPr>
      <w:spacing w:after="320"/>
    </w:pPr>
    <w:rPr>
      <w:i/>
      <w:color w:val="5B6B7A"/>
      <w:sz w:val="20"/>
      <w:szCs w:val="20"/>
    </w:rPr>
  </w:style>
  <w:style w:type="paragraph" w:styleId="Heading1">
    <w:name w:val="Heading 1"/>
    <w:basedOn w:val="Normal"/>
    <w:qFormat/>
    <w:pPr>
      <w:spacing w:before="240" w:after="120"/>
    </w:pPr>
    <w:rPr>
      <w:b/>
      <w:color w:val="1F3A5F"/>
      <w:sz w:val="28"/>
      <w:szCs w:val="28"/>
    </w:rPr>
  </w:style>
  <w:style w:type="paragraph" w:styleId="Heading2">
    <w:name w:val="Heading 2"/>
    <w:basedOn w:val="Normal"/>
    <w:qFormat/>
    <w:pPr>
      <w:spacing w:before="180" w:after="80"/>
    </w:pPr>
    <w:rPr>
      <w:b/>
      <w:color w:val="2C5282"/>
      <w:sz w:val="24"/>
      <w:szCs w:val="24"/>
    </w:rPr>
  </w:style>
  <w:style w:type="paragraph" w:styleId="Heading3">
    <w:name w:val="Heading 3"/>
    <w:basedOn w:val="Normal"/>
    <w:qFormat/>
    <w:pPr>
      <w:spacing w:before="160" w:after="60"/>
    </w:pPr>
    <w:rPr>
      <w:b/>
      <w:color w:val="3F5873"/>
      <w:sz w:val="22"/>
      <w:szCs w:val="22"/>
    </w:rPr>
  </w:style>
  <w:style w:type="paragraph" w:styleId="BodyText">
    <w:name w:val="Body Text"/>
    <w:basedOn w:val="Normal"/>
    <w:qFormat/>
    <w:rPr>
      <w:color w:val="1A202C"/>
      <w:sz w:val="22"/>
      <w:szCs w:val="22"/>
    </w:rPr>
  </w:style>
  <w:style w:type="paragraph" w:styleId="Bullet">
    <w:name w:val="Bullet"/>
    <w:basedOn w:val="BodyText"/>
    <w:qFormat/>
    <w:pPr>
      <w:ind w:left="360" w:hanging="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FundCo AI V2 Architecture Document</dc:title>
  <dc:creator>OpenAI Codex</dc:creator>
  <cp:lastModifiedBy>OpenAI Codex</cp:lastModifiedBy>
  <dcterms:created xsi:type="dcterms:W3CDTF">2026-04-28T12:00:00Z</dcterms:created>
  <dcterms:modified xsi:type="dcterms:W3CDTF">2026-04-28T12:00:00Z</dcterms:modified>
</cp:coreProperties>
</file>