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t xml:space="preserve">FundCo AI V2 Architecture Decision Record Set</w:t>
      </w:r>
    </w:p>
    <w:p>
      <w:pPr>
        <w:pStyle w:val="Subtitle"/>
      </w:pPr>
      <w:r>
        <w:rPr/>
        <w:t xml:space="preserve">Future workspace target - generated April 28, 2026</w:t>
      </w:r>
    </w:p>
    <w:p>
      <w:pPr>
        <w:pStyle w:val="BodyText"/>
      </w:pPr>
      <w:r>
        <w:rPr/>
        <w:t xml:space="preserve">This ADR set records the baseline technical decisions for V2. Each ADR is intended to be updated when the implementation proves a decision wrong or reveals a stronger alternative.</w:t>
      </w:r>
    </w:p>
    <w:p>
      <w:pPr>
        <w:pStyle w:val="Heading1"/>
      </w:pPr>
      <w:r>
        <w:rPr/>
        <w:t xml:space="preserve">ADR-001: V2 remains a modular monolith in the first execution phases</w:t>
      </w:r>
    </w:p>
    <w:p>
      <w:pPr>
        <w:pStyle w:val="Bullet"/>
      </w:pPr>
      <w:r>
        <w:rPr/>
        <w:t xml:space="preserve">- Status: Accepted</w:t>
      </w:r>
    </w:p>
    <w:p>
      <w:pPr>
        <w:pStyle w:val="Bullet"/>
      </w:pPr>
      <w:r>
        <w:rPr/>
        <w:t xml:space="preserve">- Context: The current product already spans many domains, but the team still needs fast coordinated changes across tasks, projects, meetings, reports, notifications, and AI logic. Splitting into services too early would slow delivery and raise operational overhead.</w:t>
      </w:r>
    </w:p>
    <w:p>
      <w:pPr>
        <w:pStyle w:val="Bullet"/>
      </w:pPr>
      <w:r>
        <w:rPr/>
        <w:t xml:space="preserve">- Decision: Keep V2 as a modular monolith with strong domain boundaries and worker processes.</w:t>
      </w:r>
    </w:p>
    <w:p>
      <w:pPr>
        <w:pStyle w:val="Bullet"/>
      </w:pPr>
      <w:r>
        <w:rPr/>
        <w:t xml:space="preserve">- Consequences: We reduce distributed-system complexity now while preserving a future path to service extraction by domain.</w:t>
      </w:r>
    </w:p>
    <w:p>
      <w:pPr>
        <w:pStyle w:val="Heading1"/>
      </w:pPr>
      <w:r>
        <w:rPr/>
        <w:t xml:space="preserve">ADR-002: Operational events are the canonical source for AI and analytics flows</w:t>
      </w:r>
    </w:p>
    <w:p>
      <w:pPr>
        <w:pStyle w:val="Bullet"/>
      </w:pPr>
      <w:r>
        <w:rPr/>
        <w:t xml:space="preserve">- Status: Accepted</w:t>
      </w:r>
    </w:p>
    <w:p>
      <w:pPr>
        <w:pStyle w:val="Bullet"/>
      </w:pPr>
      <w:r>
        <w:rPr/>
        <w:t xml:space="preserve">- Context: Current logic is controller-centric and produces inconsistent downstream behavior. AI modules need a consistent event stream.</w:t>
      </w:r>
    </w:p>
    <w:p>
      <w:pPr>
        <w:pStyle w:val="Bullet"/>
      </w:pPr>
      <w:r>
        <w:rPr/>
        <w:t xml:space="preserve">- Decision: Introduce a normalized operational event layer emitted from core domain workflows.</w:t>
      </w:r>
    </w:p>
    <w:p>
      <w:pPr>
        <w:pStyle w:val="Bullet"/>
      </w:pPr>
      <w:r>
        <w:rPr/>
        <w:t xml:space="preserve">- Consequences: More design discipline now, but dramatically lower coupling later for AI, HR, Finance, and read models.</w:t>
      </w:r>
    </w:p>
    <w:p>
      <w:pPr>
        <w:pStyle w:val="Heading1"/>
      </w:pPr>
      <w:r>
        <w:rPr/>
        <w:t xml:space="preserve">ADR-003: Admin backend becomes a BFF and governance boundary, not a second business engine</w:t>
      </w:r>
    </w:p>
    <w:p>
      <w:pPr>
        <w:pStyle w:val="Bullet"/>
      </w:pPr>
      <w:r>
        <w:rPr/>
        <w:t xml:space="preserve">- Status: Accepted</w:t>
      </w:r>
    </w:p>
    <w:p>
      <w:pPr>
        <w:pStyle w:val="Bullet"/>
      </w:pPr>
      <w:r>
        <w:rPr/>
        <w:t xml:space="preserve">- Context: The user and admin backends currently duplicate parts of business logic. This creates drift and makes AI rule introduction harder.</w:t>
      </w:r>
    </w:p>
    <w:p>
      <w:pPr>
        <w:pStyle w:val="Bullet"/>
      </w:pPr>
      <w:r>
        <w:rPr/>
        <w:t xml:space="preserve">- Decision: Consolidate core operational logic into shared services and reduce admin backend duplication over time.</w:t>
      </w:r>
    </w:p>
    <w:p>
      <w:pPr>
        <w:pStyle w:val="Bullet"/>
      </w:pPr>
      <w:r>
        <w:rPr/>
        <w:t xml:space="preserve">- Consequences: Refactor cost in the short term, but better maintainability and lower inconsistency risk.</w:t>
      </w:r>
    </w:p>
    <w:p>
      <w:pPr>
        <w:pStyle w:val="Heading1"/>
      </w:pPr>
      <w:r>
        <w:rPr/>
        <w:t xml:space="preserve">ADR-004: AI starts recommendation-first, not full autonomy-first</w:t>
      </w:r>
    </w:p>
    <w:p>
      <w:pPr>
        <w:pStyle w:val="Bullet"/>
      </w:pPr>
      <w:r>
        <w:rPr/>
        <w:t xml:space="preserve">- Status: Accepted</w:t>
      </w:r>
    </w:p>
    <w:p>
      <w:pPr>
        <w:pStyle w:val="Bullet"/>
      </w:pPr>
      <w:r>
        <w:rPr/>
        <w:t xml:space="preserve">- Context: The product needs trust before it can execute broad autonomous decisions.</w:t>
      </w:r>
    </w:p>
    <w:p>
      <w:pPr>
        <w:pStyle w:val="Bullet"/>
      </w:pPr>
      <w:r>
        <w:rPr/>
        <w:t xml:space="preserve">- Decision: Early V2 modules generate suggestions, inbox items, and exception routing before wider automatic action execution.</w:t>
      </w:r>
    </w:p>
    <w:p>
      <w:pPr>
        <w:pStyle w:val="Bullet"/>
      </w:pPr>
      <w:r>
        <w:rPr/>
        <w:t xml:space="preserve">- Consequences: Slower visible autonomy at first, but much stronger governance and adoption.</w:t>
      </w:r>
    </w:p>
    <w:p>
      <w:pPr>
        <w:pStyle w:val="Heading1"/>
      </w:pPr>
      <w:r>
        <w:rPr/>
        <w:t xml:space="preserve">ADR-005: Every AI action must be policy-checked and audit-stamped</w:t>
      </w:r>
    </w:p>
    <w:p>
      <w:pPr>
        <w:pStyle w:val="Bullet"/>
      </w:pPr>
      <w:r>
        <w:rPr/>
        <w:t xml:space="preserve">- Status: Accepted</w:t>
      </w:r>
    </w:p>
    <w:p>
      <w:pPr>
        <w:pStyle w:val="Bullet"/>
      </w:pPr>
      <w:r>
        <w:rPr/>
        <w:t xml:space="preserve">- Context: Assignment, escalation, reassignment, and HR or Finance linkage create operational and legal risk.</w:t>
      </w:r>
    </w:p>
    <w:p>
      <w:pPr>
        <w:pStyle w:val="Bullet"/>
      </w:pPr>
      <w:r>
        <w:rPr/>
        <w:t xml:space="preserve">- Decision: Build AI action envelopes with policy result, confidence, reason, source event, and audit metadata.</w:t>
      </w:r>
    </w:p>
    <w:p>
      <w:pPr>
        <w:pStyle w:val="Bullet"/>
      </w:pPr>
      <w:r>
        <w:rPr/>
        <w:t xml:space="preserve">- Consequences: Slightly heavier action flow, but safe and explainable automation.</w:t>
      </w:r>
    </w:p>
    <w:p>
      <w:pPr>
        <w:pStyle w:val="Heading1"/>
      </w:pPr>
      <w:r>
        <w:rPr/>
        <w:t xml:space="preserve">ADR-006: Read models will back the management surfaces</w:t>
      </w:r>
    </w:p>
    <w:p>
      <w:pPr>
        <w:pStyle w:val="Bullet"/>
      </w:pPr>
      <w:r>
        <w:rPr/>
        <w:t xml:space="preserve">- Status: Accepted</w:t>
      </w:r>
    </w:p>
    <w:p>
      <w:pPr>
        <w:pStyle w:val="Bullet"/>
      </w:pPr>
      <w:r>
        <w:rPr/>
        <w:t xml:space="preserve">- Context: The future admin experience will require dense cross-domain operational views. Raw transactional queries will not remain maintainable.</w:t>
      </w:r>
    </w:p>
    <w:p>
      <w:pPr>
        <w:pStyle w:val="Bullet"/>
      </w:pPr>
      <w:r>
        <w:rPr/>
        <w:t xml:space="preserve">- Decision: Build dedicated read models for management inbox, operations console, company summary, and exception views.</w:t>
      </w:r>
    </w:p>
    <w:p>
      <w:pPr>
        <w:pStyle w:val="Bullet"/>
      </w:pPr>
      <w:r>
        <w:rPr/>
        <w:t xml:space="preserve">- Consequences: Requires projection logic and rebuild strategy, but gives stable high-performance admin surfaces.</w:t>
      </w:r>
    </w:p>
    <w:p>
      <w:pPr>
        <w:pStyle w:val="Heading1"/>
      </w:pPr>
      <w:r>
        <w:rPr/>
        <w:t xml:space="preserve">ADR-007: Background work moves to workers and job queues</w:t>
      </w:r>
    </w:p>
    <w:p>
      <w:pPr>
        <w:pStyle w:val="Bullet"/>
      </w:pPr>
      <w:r>
        <w:rPr/>
        <w:t xml:space="preserve">- Status: Accepted</w:t>
      </w:r>
    </w:p>
    <w:p>
      <w:pPr>
        <w:pStyle w:val="Bullet"/>
      </w:pPr>
      <w:r>
        <w:rPr/>
        <w:t xml:space="preserve">- Context: Meeting intelligence, report intelligence, workload recomputation, and AI summaries are not request-time responsibilities.</w:t>
      </w:r>
    </w:p>
    <w:p>
      <w:pPr>
        <w:pStyle w:val="Bullet"/>
      </w:pPr>
      <w:r>
        <w:rPr/>
        <w:t xml:space="preserve">- Decision: Introduce asynchronous jobs for event processing and AI execution paths.</w:t>
      </w:r>
    </w:p>
    <w:p>
      <w:pPr>
        <w:pStyle w:val="Bullet"/>
      </w:pPr>
      <w:r>
        <w:rPr/>
        <w:t xml:space="preserve">- Consequences: Requires job reliability, retries, idempotency, and monitoring.</w:t>
      </w:r>
    </w:p>
    <w:p>
      <w:pPr>
        <w:pStyle w:val="Heading1"/>
      </w:pPr>
      <w:r>
        <w:rPr/>
        <w:t xml:space="preserve">ADR-008: Versioned prompts and model metadata are part of the system contract</w:t>
      </w:r>
    </w:p>
    <w:p>
      <w:pPr>
        <w:pStyle w:val="Bullet"/>
      </w:pPr>
      <w:r>
        <w:rPr/>
        <w:t xml:space="preserve">- Status: Accepted</w:t>
      </w:r>
    </w:p>
    <w:p>
      <w:pPr>
        <w:pStyle w:val="Bullet"/>
      </w:pPr>
      <w:r>
        <w:rPr/>
        <w:t xml:space="preserve">- Context: AI outputs will affect business workflows. Prompt drift cannot be invisible.</w:t>
      </w:r>
    </w:p>
    <w:p>
      <w:pPr>
        <w:pStyle w:val="Bullet"/>
      </w:pPr>
      <w:r>
        <w:rPr/>
        <w:t xml:space="preserve">- Decision: Every AI-generated recommendation, action, or summary stores prompt version, model version, and confidence data.</w:t>
      </w:r>
    </w:p>
    <w:p>
      <w:pPr>
        <w:pStyle w:val="Bullet"/>
      </w:pPr>
      <w:r>
        <w:rPr/>
        <w:t xml:space="preserve">- Consequences: Better traceability, easier evaluation, and safer rollback.</w:t>
      </w:r>
    </w:p>
    <w:p>
      <w:pPr>
        <w:pStyle w:val="Heading1"/>
      </w:pPr>
      <w:r>
        <w:rPr/>
        <w:t xml:space="preserve">ADR-009: Entity isolation must be designed before multi-company rollout</w:t>
      </w:r>
    </w:p>
    <w:p>
      <w:pPr>
        <w:pStyle w:val="Bullet"/>
      </w:pPr>
      <w:r>
        <w:rPr/>
        <w:t xml:space="preserve">- Status: Accepted</w:t>
      </w:r>
    </w:p>
    <w:p>
      <w:pPr>
        <w:pStyle w:val="Bullet"/>
      </w:pPr>
      <w:r>
        <w:rPr/>
        <w:t xml:space="preserve">- Context: Multi-company support changes the trust model and query model fundamentally.</w:t>
      </w:r>
    </w:p>
    <w:p>
      <w:pPr>
        <w:pStyle w:val="Bullet"/>
      </w:pPr>
      <w:r>
        <w:rPr/>
        <w:t xml:space="preserve">- Decision: Introduce entity-aware scoping and permissions in the data model before exposing multi-company capabilities.</w:t>
      </w:r>
    </w:p>
    <w:p>
      <w:pPr>
        <w:pStyle w:val="Bullet"/>
      </w:pPr>
      <w:r>
        <w:rPr/>
        <w:t xml:space="preserve">- Consequences: More upfront domain design, but avoids a dangerous retrofit later.</w:t>
      </w:r>
    </w:p>
    <w:p>
      <w:pPr>
        <w:pStyle w:val="Heading1"/>
      </w:pPr>
      <w:r>
        <w:rPr/>
        <w:t xml:space="preserve">ADR-010: HR and Finance consume execution data rather than defining it</w:t>
      </w:r>
    </w:p>
    <w:p>
      <w:pPr>
        <w:pStyle w:val="Bullet"/>
      </w:pPr>
      <w:r>
        <w:rPr/>
        <w:t xml:space="preserve">- Status: Accepted</w:t>
      </w:r>
    </w:p>
    <w:p>
      <w:pPr>
        <w:pStyle w:val="Bullet"/>
      </w:pPr>
      <w:r>
        <w:rPr/>
        <w:t xml:space="preserve">- Context: HR and Finance later depend on accurate operational behavior, not the other way around.</w:t>
      </w:r>
    </w:p>
    <w:p>
      <w:pPr>
        <w:pStyle w:val="Bullet"/>
      </w:pPr>
      <w:r>
        <w:rPr/>
        <w:t xml:space="preserve">- Decision: Build the execution core first, then map HR and Finance services onto that verified data.</w:t>
      </w:r>
    </w:p>
    <w:p>
      <w:pPr>
        <w:pStyle w:val="Bullet"/>
      </w:pPr>
      <w:r>
        <w:rPr/>
        <w:t xml:space="preserve">- Consequences: HR and Finance delivery begins after event and intelligence foundations are stable.</w:t>
      </w:r>
    </w:p>
    <w:p>
      <w:pPr>
        <w:pStyle w:val="Heading1"/>
      </w:pPr>
      <w:r>
        <w:rPr/>
        <w:t xml:space="preserve">ADR-011: Real-time notifications will be projection-driven</w:t>
      </w:r>
    </w:p>
    <w:p>
      <w:pPr>
        <w:pStyle w:val="Bullet"/>
      </w:pPr>
      <w:r>
        <w:rPr/>
        <w:t xml:space="preserve">- Status: Accepted</w:t>
      </w:r>
    </w:p>
    <w:p>
      <w:pPr>
        <w:pStyle w:val="Bullet"/>
      </w:pPr>
      <w:r>
        <w:rPr/>
        <w:t xml:space="preserve">- Context: V1 notification logic is improving but still controller-heavy in places.</w:t>
      </w:r>
    </w:p>
    <w:p>
      <w:pPr>
        <w:pStyle w:val="Bullet"/>
      </w:pPr>
      <w:r>
        <w:rPr/>
        <w:t xml:space="preserve">- Decision: Use event-derived notification projections and socket fan-out rather than ad hoc direct emits wherever possible.</w:t>
      </w:r>
    </w:p>
    <w:p>
      <w:pPr>
        <w:pStyle w:val="Bullet"/>
      </w:pPr>
      <w:r>
        <w:rPr/>
        <w:t xml:space="preserve">- Consequences: Cleaner notification consistency and better replayability.</w:t>
      </w:r>
    </w:p>
    <w:p>
      <w:pPr>
        <w:pStyle w:val="Heading1"/>
      </w:pPr>
      <w:r>
        <w:rPr/>
        <w:t xml:space="preserve">ADR-012: Feature flags are required for every V2 autonomy capability</w:t>
      </w:r>
    </w:p>
    <w:p>
      <w:pPr>
        <w:pStyle w:val="Bullet"/>
      </w:pPr>
      <w:r>
        <w:rPr/>
        <w:t xml:space="preserve">- Status: Accepted</w:t>
      </w:r>
    </w:p>
    <w:p>
      <w:pPr>
        <w:pStyle w:val="Bullet"/>
      </w:pPr>
      <w:r>
        <w:rPr/>
        <w:t xml:space="preserve">- Context: AI assignment, escalations, and automated actions must be introduced safely by team, module, and confidence level.</w:t>
      </w:r>
    </w:p>
    <w:p>
      <w:pPr>
        <w:pStyle w:val="Bullet"/>
      </w:pPr>
      <w:r>
        <w:rPr/>
        <w:t xml:space="preserve">- Decision: Gate all new autonomy features through feature flags, environment controls, and audit-aware rollout policies.</w:t>
      </w:r>
    </w:p>
    <w:p>
      <w:pPr>
        <w:pStyle w:val="Bullet"/>
      </w:pPr>
      <w:r>
        <w:rPr/>
        <w:t xml:space="preserve">- Consequences: Slightly more release complexity, but far safer production rollout.</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3A5F"/>
      <w:sz w:val="34"/>
      <w:szCs w:val="34"/>
    </w:rPr>
  </w:style>
  <w:style w:type="paragraph" w:styleId="Subtitle">
    <w:name w:val="Subtitle"/>
    <w:basedOn w:val="Normal"/>
    <w:qFormat/>
    <w:pPr>
      <w:spacing w:after="320"/>
    </w:pPr>
    <w:rPr>
      <w:i/>
      <w:color w:val="5B6B7A"/>
      <w:sz w:val="20"/>
      <w:szCs w:val="20"/>
    </w:rPr>
  </w:style>
  <w:style w:type="paragraph" w:styleId="Heading1">
    <w:name w:val="Heading 1"/>
    <w:basedOn w:val="Normal"/>
    <w:qFormat/>
    <w:pPr>
      <w:spacing w:before="240" w:after="120"/>
    </w:pPr>
    <w:rPr>
      <w:b/>
      <w:color w:val="1F3A5F"/>
      <w:sz w:val="28"/>
      <w:szCs w:val="28"/>
    </w:rPr>
  </w:style>
  <w:style w:type="paragraph" w:styleId="Heading2">
    <w:name w:val="Heading 2"/>
    <w:basedOn w:val="Normal"/>
    <w:qFormat/>
    <w:pPr>
      <w:spacing w:before="180" w:after="80"/>
    </w:pPr>
    <w:rPr>
      <w:b/>
      <w:color w:val="2C5282"/>
      <w:sz w:val="24"/>
      <w:szCs w:val="24"/>
    </w:rPr>
  </w:style>
  <w:style w:type="paragraph" w:styleId="Heading3">
    <w:name w:val="Heading 3"/>
    <w:basedOn w:val="Normal"/>
    <w:qFormat/>
    <w:pPr>
      <w:spacing w:before="160" w:after="60"/>
    </w:pPr>
    <w:rPr>
      <w:b/>
      <w:color w:val="3F5873"/>
      <w:sz w:val="22"/>
      <w:szCs w:val="22"/>
    </w:rPr>
  </w:style>
  <w:style w:type="paragraph" w:styleId="BodyText">
    <w:name w:val="Body Text"/>
    <w:basedOn w:val="Normal"/>
    <w:qFormat/>
    <w:rPr>
      <w:color w:val="1A202C"/>
      <w:sz w:val="22"/>
      <w:szCs w:val="22"/>
    </w:rPr>
  </w:style>
  <w:style w:type="paragraph" w:styleId="Bullet">
    <w:name w:val="Bullet"/>
    <w:basedOn w:val="BodyText"/>
    <w:qFormat/>
    <w:pPr>
      <w:ind w:left="360" w:hanging="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V2 Architecture Decision Record Set</dc:title>
  <dc:creator>OpenAI Codex</dc:creator>
  <cp:lastModifiedBy>OpenAI Codex</cp:lastModifiedBy>
  <dcterms:created xsi:type="dcterms:W3CDTF">2026-04-28T12:00:00Z</dcterms:created>
  <dcterms:modified xsi:type="dcterms:W3CDTF">2026-04-28T12:00:00Z</dcterms:modified>
</cp:coreProperties>
</file>