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3864"/>
          <w:sz w:val="40"/>
          <w:szCs w:val="40"/>
        </w:rPr>
        <w:t xml:space="preserve">MOBILITY ADTECH PLATFORM</w:t>
      </w:r>
    </w:p>
    <w:p>
      <w:pPr>
        <w:spacing w:after="40" w:before="0"/>
      </w:pPr>
      <w:r>
        <w:rPr>
          <w:b/>
          <w:bCs/>
          <w:i w:val="false"/>
          <w:iCs w:val="false"/>
          <w:sz w:val="26"/>
          <w:szCs w:val="26"/>
        </w:rPr>
        <w:t xml:space="preserve">Product Direction — Working Decisions &amp; Open Items</w:t>
      </w:r>
    </w:p>
    <w:p>
      <w:pPr>
        <w:spacing w:after="200" w:before="0"/>
      </w:pPr>
      <w:r>
        <w:rPr>
          <w:b w:val="false"/>
          <w:bCs w:val="false"/>
          <w:i w:val="false"/>
          <w:iCs w:val="false"/>
          <w:color w:val="595959"/>
          <w:sz w:val="20"/>
          <w:szCs w:val="20"/>
        </w:rPr>
        <w:t xml:space="preserve">Prepared for Somto  |  July 2026  |  Supersedes the July questionnaire</w:t>
      </w:r>
    </w:p>
    <w:tbl>
      <w:tblPr>
        <w:tblW w:type="dxa" w:w="9026"/>
        <w:tblBorders>
          <w:top w:val="single" w:color="BFBFBF" w:sz="4"/>
          <w:left w:val="single" w:color="BFBFBF" w:sz="4"/>
          <w:bottom w:val="single" w:color="BFBFBF" w:sz="4"/>
          <w:right w:val="single" w:color="BFBFBF" w:sz="4"/>
          <w:insideH w:val="none" w:color="FFFFFF" w:sz="0"/>
          <w:insideV w:val="none" w:color="FFFFFF" w:sz="0"/>
        </w:tblBorders>
      </w:tblPr>
      <w:tblGrid>
        <w:gridCol w:w="9026"/>
      </w:tblGrid>
      <w:tr>
        <w:tc>
          <w:tcPr>
            <w:tcW w:type="dxa" w:w="9026"/>
            <w:shd w:fill="DEE7F2" w:val="clear"/>
            <w:tcMar>
              <w:top w:type="dxa" w:w="160"/>
              <w:left w:type="dxa" w:w="200"/>
              <w:bottom w:type="dxa" w:w="160"/>
              <w:right w:type="dxa" w:w="200"/>
            </w:tcMar>
          </w:tcPr>
          <w:p>
            <w:pPr>
              <w:spacing w:after="0" w:before="0"/>
            </w:pPr>
            <w:r>
              <w:rPr>
                <w:b/>
                <w:bCs/>
                <w:sz w:val="21"/>
                <w:szCs w:val="21"/>
              </w:rPr>
              <w:t xml:space="preserve">How to use this document. </w:t>
            </w:r>
            <w:r>
              <w:rPr>
                <w:sz w:val="21"/>
                <w:szCs w:val="21"/>
              </w:rPr>
              <w:t xml:space="preserve">To keep the build on schedule, we have adopted the industry-standard answer for every question that has one — the same choices established players in this space (Carvertise, Wrapify and similar platforms) have settled on. These are listed in Section 2 and we are building to them now. Nothing there needs a reply: if a decision conflicts with how you want to run the business, flag it and we adjust — early flags are cheap, late ones are not. </w:t>
            </w:r>
            <w:r>
              <w:rPr>
                <w:b/>
                <w:bCs/>
                <w:sz w:val="21"/>
                <w:szCs w:val="21"/>
              </w:rPr>
              <w:t xml:space="preserve">Only Section 3 (one confirmation) and Section 4 (six short items) need your input, and none of them block the build today.</w:t>
            </w:r>
          </w:p>
        </w:tc>
      </w:tr>
    </w:tbl>
    <w:p>
      <w:pPr>
        <w:spacing w:after="60"/>
      </w:pPr>
    </w:p>
    <w:p>
      <w:pPr>
        <w:pStyle w:val="Heading1"/>
        <w:spacing w:after="100" w:before="240"/>
      </w:pPr>
      <w:r>
        <w:rPr>
          <w:b/>
          <w:bCs/>
          <w:color w:val="1F3864"/>
          <w:sz w:val="28"/>
          <w:szCs w:val="28"/>
        </w:rPr>
        <w:t xml:space="preserve">1. Decisions already confirmed</w:t>
      </w:r>
    </w:p>
    <w:p>
      <w:pPr>
        <w:spacing w:after="60" w:before="0"/>
      </w:pPr>
      <w:r>
        <w:rPr>
          <w:b w:val="false"/>
          <w:bCs w:val="false"/>
          <w:i w:val="false"/>
          <w:iCs w:val="false"/>
          <w:sz w:val="22"/>
          <w:szCs w:val="22"/>
        </w:rPr>
        <w:t xml:space="preserve">1.  Driver pay: drivers are paid a fixed naira amount per hour, not a share of advertiser revenue.</w:t>
      </w:r>
    </w:p>
    <w:p>
      <w:pPr>
        <w:spacing w:after="60" w:before="0"/>
      </w:pPr>
      <w:r>
        <w:rPr>
          <w:b w:val="false"/>
          <w:bCs w:val="false"/>
          <w:i w:val="false"/>
          <w:iCs w:val="false"/>
          <w:sz w:val="22"/>
          <w:szCs w:val="22"/>
        </w:rPr>
        <w:t xml:space="preserve">2.  MVP tracking: the pilot uses screen-on tracking with the installable driver app (phone mounted, app visible while driving). True background tracking arrives with the native mobile app after the pilot; campaign and payment logic are unaffected.</w:t>
      </w:r>
    </w:p>
    <w:p>
      <w:pPr>
        <w:spacing w:after="120" w:before="0"/>
      </w:pPr>
      <w:r>
        <w:rPr>
          <w:b w:val="false"/>
          <w:bCs w:val="false"/>
          <w:i w:val="false"/>
          <w:iCs w:val="false"/>
          <w:sz w:val="22"/>
          <w:szCs w:val="22"/>
        </w:rPr>
        <w:t xml:space="preserve">3.  Payable hours are capped: each campaign sets a maximum number of payable hours per driver per day, shown to the driver in the offer before they accept.</w:t>
      </w:r>
    </w:p>
    <w:p>
      <w:pPr>
        <w:pStyle w:val="Heading1"/>
        <w:spacing w:after="100" w:before="240"/>
      </w:pPr>
      <w:r>
        <w:rPr>
          <w:b/>
          <w:bCs/>
          <w:color w:val="1F3864"/>
          <w:sz w:val="28"/>
          <w:szCs w:val="28"/>
        </w:rPr>
        <w:t xml:space="preserve">2. Adopted working decisions</w:t>
      </w:r>
    </w:p>
    <w:p>
      <w:pPr>
        <w:spacing w:after="100" w:before="240"/>
      </w:pPr>
      <w:r>
        <w:rPr>
          <w:b/>
          <w:bCs/>
          <w:color w:val="1F3864"/>
          <w:sz w:val="24"/>
          <w:szCs w:val="24"/>
        </w:rPr>
        <w:t xml:space="preserve">Commercial &amp; payments</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5200"/>
        <w:gridCol w:w="3826"/>
      </w:tblGrid>
      <w:tr>
        <w:trPr>
          <w:tblHeader/>
        </w:trPr>
        <w:tc>
          <w:tcPr>
            <w:tcW w:type="dxa" w:w="5200"/>
            <w:shd w:fill="1F3864" w:val="clear"/>
            <w:tcMar>
              <w:top w:type="dxa" w:w="80"/>
              <w:left w:type="dxa" w:w="140"/>
              <w:bottom w:type="dxa" w:w="80"/>
              <w:right w:type="dxa" w:w="140"/>
            </w:tcMar>
          </w:tcPr>
          <w:p>
            <w:pPr>
              <w:spacing w:after="0"/>
            </w:pPr>
            <w:r>
              <w:rPr>
                <w:b/>
                <w:bCs/>
                <w:color w:val="FFFFFF"/>
                <w:sz w:val="21"/>
                <w:szCs w:val="21"/>
              </w:rPr>
              <w:t xml:space="preserve">What we are building</w:t>
            </w:r>
          </w:p>
        </w:tc>
        <w:tc>
          <w:tcPr>
            <w:tcW w:type="dxa" w:w="3826"/>
            <w:shd w:fill="1F3864" w:val="clear"/>
            <w:tcMar>
              <w:top w:type="dxa" w:w="80"/>
              <w:left w:type="dxa" w:w="140"/>
              <w:bottom w:type="dxa" w:w="80"/>
              <w:right w:type="dxa" w:w="140"/>
            </w:tcMar>
          </w:tcPr>
          <w:p>
            <w:pPr>
              <w:spacing w:after="0"/>
            </w:pPr>
            <w:r>
              <w:rPr>
                <w:b/>
                <w:bCs/>
                <w:color w:val="FFFFFF"/>
                <w:sz w:val="21"/>
                <w:szCs w:val="21"/>
              </w:rPr>
              <w:t xml:space="preserve">Why this is the standard</w:t>
            </w:r>
          </w:p>
        </w:tc>
      </w:tr>
      <w:tr>
        <w:tc>
          <w:tcPr>
            <w:tcW w:type="dxa" w:w="5200"/>
            <w:shd w:fill="FFFFFF" w:val="clear"/>
            <w:tcMar>
              <w:top w:type="dxa" w:w="80"/>
              <w:left w:type="dxa" w:w="140"/>
              <w:bottom w:type="dxa" w:w="80"/>
              <w:right w:type="dxa" w:w="140"/>
            </w:tcMar>
          </w:tcPr>
          <w:p>
            <w:pPr>
              <w:spacing w:after="0"/>
            </w:pPr>
            <w:r>
              <w:rPr>
                <w:sz w:val="21"/>
                <w:szCs w:val="21"/>
              </w:rPr>
              <w:t xml:space="preserve">Pricing: hybrid model — admin-configurable standard packages, plus custom quotations for larger or unusual campaigns. Nothing is hard-coded.</w:t>
            </w:r>
          </w:p>
        </w:tc>
        <w:tc>
          <w:tcPr>
            <w:tcW w:type="dxa" w:w="3826"/>
            <w:shd w:fill="FFFFFF" w:val="clear"/>
            <w:tcMar>
              <w:top w:type="dxa" w:w="80"/>
              <w:left w:type="dxa" w:w="140"/>
              <w:bottom w:type="dxa" w:w="80"/>
              <w:right w:type="dxa" w:w="140"/>
            </w:tcMar>
          </w:tcPr>
          <w:p>
            <w:pPr>
              <w:spacing w:after="0"/>
            </w:pPr>
            <w:r>
              <w:rPr>
                <w:color w:val="404040"/>
                <w:sz w:val="21"/>
                <w:szCs w:val="21"/>
              </w:rPr>
              <w:t xml:space="preserve">Packages give smaller advertisers an easy entry point; big deals stay flexible. Standard across ad platforms.</w:t>
            </w:r>
          </w:p>
        </w:tc>
      </w:tr>
      <w:tr>
        <w:tc>
          <w:tcPr>
            <w:tcW w:type="dxa" w:w="5200"/>
            <w:shd w:fill="F2F2F2" w:val="clear"/>
            <w:tcMar>
              <w:top w:type="dxa" w:w="80"/>
              <w:left w:type="dxa" w:w="140"/>
              <w:bottom w:type="dxa" w:w="80"/>
              <w:right w:type="dxa" w:w="140"/>
            </w:tcMar>
          </w:tcPr>
          <w:p>
            <w:pPr>
              <w:spacing w:after="0"/>
            </w:pPr>
            <w:r>
              <w:rPr>
                <w:sz w:val="21"/>
                <w:szCs w:val="21"/>
              </w:rPr>
              <w:t xml:space="preserve">Payment timing: deposit before production, balance before activation. Agreed credit terms for approved corporate advertisers come after the pilot.</w:t>
            </w:r>
          </w:p>
        </w:tc>
        <w:tc>
          <w:tcPr>
            <w:tcW w:type="dxa" w:w="3826"/>
            <w:shd w:fill="F2F2F2" w:val="clear"/>
            <w:tcMar>
              <w:top w:type="dxa" w:w="80"/>
              <w:left w:type="dxa" w:w="140"/>
              <w:bottom w:type="dxa" w:w="80"/>
              <w:right w:type="dxa" w:w="140"/>
            </w:tcMar>
          </w:tcPr>
          <w:p>
            <w:pPr>
              <w:spacing w:after="0"/>
            </w:pPr>
            <w:r>
              <w:rPr>
                <w:color w:val="404040"/>
                <w:sz w:val="21"/>
                <w:szCs w:val="21"/>
              </w:rPr>
              <w:t xml:space="preserve">Standard practice in out-of-home advertising: nothing is printed before money is committed, and no campaign goes live with an unpaid balance.</w:t>
            </w:r>
          </w:p>
        </w:tc>
      </w:tr>
      <w:tr>
        <w:tc>
          <w:tcPr>
            <w:tcW w:type="dxa" w:w="5200"/>
            <w:shd w:fill="FFFFFF" w:val="clear"/>
            <w:tcMar>
              <w:top w:type="dxa" w:w="80"/>
              <w:left w:type="dxa" w:w="140"/>
              <w:bottom w:type="dxa" w:w="80"/>
              <w:right w:type="dxa" w:w="140"/>
            </w:tcMar>
          </w:tcPr>
          <w:p>
            <w:pPr>
              <w:spacing w:after="0"/>
            </w:pPr>
            <w:r>
              <w:rPr>
                <w:sz w:val="21"/>
                <w:szCs w:val="21"/>
              </w:rPr>
              <w:t xml:space="preserve">Payment methods: bank transfer (admin-confirmed) and online payment via Paystack/Flutterwave, recorded in one campaign payment history.</w:t>
            </w:r>
          </w:p>
        </w:tc>
        <w:tc>
          <w:tcPr>
            <w:tcW w:type="dxa" w:w="3826"/>
            <w:shd w:fill="FFFFFF" w:val="clear"/>
            <w:tcMar>
              <w:top w:type="dxa" w:w="80"/>
              <w:left w:type="dxa" w:w="140"/>
              <w:bottom w:type="dxa" w:w="80"/>
              <w:right w:type="dxa" w:w="140"/>
            </w:tcMar>
          </w:tcPr>
          <w:p>
            <w:pPr>
              <w:spacing w:after="0"/>
            </w:pPr>
            <w:r>
              <w:rPr>
                <w:color w:val="404040"/>
                <w:sz w:val="21"/>
                <w:szCs w:val="21"/>
              </w:rPr>
              <w:t xml:space="preserve">Nigerian corporates pay by transfer against invoice; self-service advertisers pay online. Supporting both is the market norm.</w:t>
            </w:r>
          </w:p>
        </w:tc>
      </w:tr>
      <w:tr>
        <w:tc>
          <w:tcPr>
            <w:tcW w:type="dxa" w:w="5200"/>
            <w:shd w:fill="F2F2F2" w:val="clear"/>
            <w:tcMar>
              <w:top w:type="dxa" w:w="80"/>
              <w:left w:type="dxa" w:w="140"/>
              <w:bottom w:type="dxa" w:w="80"/>
              <w:right w:type="dxa" w:w="140"/>
            </w:tcMar>
          </w:tcPr>
          <w:p>
            <w:pPr>
              <w:spacing w:after="0"/>
            </w:pPr>
            <w:r>
              <w:rPr>
                <w:sz w:val="21"/>
                <w:szCs w:val="21"/>
              </w:rPr>
              <w:t xml:space="preserve">Documents: the platform generates numbered, VAT-consistent, downloadable invoices. Quotations stay manual during the pilot.</w:t>
            </w:r>
          </w:p>
        </w:tc>
        <w:tc>
          <w:tcPr>
            <w:tcW w:type="dxa" w:w="3826"/>
            <w:shd w:fill="F2F2F2" w:val="clear"/>
            <w:tcMar>
              <w:top w:type="dxa" w:w="80"/>
              <w:left w:type="dxa" w:w="140"/>
              <w:bottom w:type="dxa" w:w="80"/>
              <w:right w:type="dxa" w:w="140"/>
            </w:tcMar>
          </w:tcPr>
          <w:p>
            <w:pPr>
              <w:spacing w:after="0"/>
            </w:pPr>
            <w:r>
              <w:rPr>
                <w:color w:val="404040"/>
                <w:sz w:val="21"/>
                <w:szCs w:val="21"/>
              </w:rPr>
              <w:t xml:space="preserve">Invoicing is repetitive and rule-bound — worth automating early. Quotations vary deal to deal. (Live invoices need item 4.1.)</w:t>
            </w:r>
          </w:p>
        </w:tc>
      </w:tr>
    </w:tbl>
    <w:p>
      <w:pPr>
        <w:spacing w:after="100" w:before="240"/>
      </w:pPr>
      <w:r>
        <w:rPr>
          <w:b/>
          <w:bCs/>
          <w:color w:val="1F3864"/>
          <w:sz w:val="24"/>
          <w:szCs w:val="24"/>
        </w:rPr>
        <w:t xml:space="preserve">Campaign workflow</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5200"/>
        <w:gridCol w:w="3826"/>
      </w:tblGrid>
      <w:tr>
        <w:trPr>
          <w:tblHeader/>
        </w:trPr>
        <w:tc>
          <w:tcPr>
            <w:tcW w:type="dxa" w:w="5200"/>
            <w:shd w:fill="1F3864" w:val="clear"/>
            <w:tcMar>
              <w:top w:type="dxa" w:w="80"/>
              <w:left w:type="dxa" w:w="140"/>
              <w:bottom w:type="dxa" w:w="80"/>
              <w:right w:type="dxa" w:w="140"/>
            </w:tcMar>
          </w:tcPr>
          <w:p>
            <w:pPr>
              <w:spacing w:after="0"/>
            </w:pPr>
            <w:r>
              <w:rPr>
                <w:b/>
                <w:bCs/>
                <w:color w:val="FFFFFF"/>
                <w:sz w:val="21"/>
                <w:szCs w:val="21"/>
              </w:rPr>
              <w:t xml:space="preserve">What we are building</w:t>
            </w:r>
          </w:p>
        </w:tc>
        <w:tc>
          <w:tcPr>
            <w:tcW w:type="dxa" w:w="3826"/>
            <w:shd w:fill="1F3864" w:val="clear"/>
            <w:tcMar>
              <w:top w:type="dxa" w:w="80"/>
              <w:left w:type="dxa" w:w="140"/>
              <w:bottom w:type="dxa" w:w="80"/>
              <w:right w:type="dxa" w:w="140"/>
            </w:tcMar>
          </w:tcPr>
          <w:p>
            <w:pPr>
              <w:spacing w:after="0"/>
            </w:pPr>
            <w:r>
              <w:rPr>
                <w:b/>
                <w:bCs/>
                <w:color w:val="FFFFFF"/>
                <w:sz w:val="21"/>
                <w:szCs w:val="21"/>
              </w:rPr>
              <w:t xml:space="preserve">Why this is the standard</w:t>
            </w:r>
          </w:p>
        </w:tc>
      </w:tr>
      <w:tr>
        <w:tc>
          <w:tcPr>
            <w:tcW w:type="dxa" w:w="5200"/>
            <w:shd w:fill="FFFFFF" w:val="clear"/>
            <w:tcMar>
              <w:top w:type="dxa" w:w="80"/>
              <w:left w:type="dxa" w:w="140"/>
              <w:bottom w:type="dxa" w:w="80"/>
              <w:right w:type="dxa" w:w="140"/>
            </w:tcMar>
          </w:tcPr>
          <w:p>
            <w:pPr>
              <w:spacing w:after="0"/>
            </w:pPr>
            <w:r>
              <w:rPr>
                <w:sz w:val="21"/>
                <w:szCs w:val="21"/>
              </w:rPr>
              <w:t xml:space="preserve">Campaign creation: advertisers create draft campaigns; admin approval is required before launch.</w:t>
            </w:r>
          </w:p>
        </w:tc>
        <w:tc>
          <w:tcPr>
            <w:tcW w:type="dxa" w:w="3826"/>
            <w:shd w:fill="FFFFFF" w:val="clear"/>
            <w:tcMar>
              <w:top w:type="dxa" w:w="80"/>
              <w:left w:type="dxa" w:w="140"/>
              <w:bottom w:type="dxa" w:w="80"/>
              <w:right w:type="dxa" w:w="140"/>
            </w:tcMar>
          </w:tcPr>
          <w:p>
            <w:pPr>
              <w:spacing w:after="0"/>
            </w:pPr>
            <w:r>
              <w:rPr>
                <w:color w:val="404040"/>
                <w:sz w:val="21"/>
                <w:szCs w:val="21"/>
              </w:rPr>
              <w:t xml:space="preserve">Every major ad platform (Google, Meta) reviews campaigns before they run.</w:t>
            </w:r>
          </w:p>
        </w:tc>
      </w:tr>
      <w:tr>
        <w:tc>
          <w:tcPr>
            <w:tcW w:type="dxa" w:w="5200"/>
            <w:shd w:fill="F2F2F2" w:val="clear"/>
            <w:tcMar>
              <w:top w:type="dxa" w:w="80"/>
              <w:left w:type="dxa" w:w="140"/>
              <w:bottom w:type="dxa" w:w="80"/>
              <w:right w:type="dxa" w:w="140"/>
            </w:tcMar>
          </w:tcPr>
          <w:p>
            <w:pPr>
              <w:spacing w:after="0"/>
            </w:pPr>
            <w:r>
              <w:rPr>
                <w:sz w:val="21"/>
                <w:szCs w:val="21"/>
              </w:rPr>
              <w:t xml:space="preserve">Matching: the system recommends eligible drivers and vehicles; an admin approves the final assignment.</w:t>
            </w:r>
          </w:p>
        </w:tc>
        <w:tc>
          <w:tcPr>
            <w:tcW w:type="dxa" w:w="3826"/>
            <w:shd w:fill="F2F2F2" w:val="clear"/>
            <w:tcMar>
              <w:top w:type="dxa" w:w="80"/>
              <w:left w:type="dxa" w:w="140"/>
              <w:bottom w:type="dxa" w:w="80"/>
              <w:right w:type="dxa" w:w="140"/>
            </w:tcMar>
          </w:tcPr>
          <w:p>
            <w:pPr>
              <w:spacing w:after="0"/>
            </w:pPr>
            <w:r>
              <w:rPr>
                <w:color w:val="404040"/>
                <w:sz w:val="21"/>
                <w:szCs w:val="21"/>
              </w:rPr>
              <w:t xml:space="preserve">Automation does the searching; a human prevents unsuitable assignments during the pilot.</w:t>
            </w:r>
          </w:p>
        </w:tc>
      </w:tr>
      <w:tr>
        <w:tc>
          <w:tcPr>
            <w:tcW w:type="dxa" w:w="5200"/>
            <w:shd w:fill="FFFFFF" w:val="clear"/>
            <w:tcMar>
              <w:top w:type="dxa" w:w="80"/>
              <w:left w:type="dxa" w:w="140"/>
              <w:bottom w:type="dxa" w:w="80"/>
              <w:right w:type="dxa" w:w="140"/>
            </w:tcMar>
          </w:tcPr>
          <w:p>
            <w:pPr>
              <w:spacing w:after="0"/>
            </w:pPr>
            <w:r>
              <w:rPr>
                <w:sz w:val="21"/>
                <w:szCs w:val="21"/>
              </w:rPr>
              <w:t xml:space="preserve">Driver acceptance: drivers receive an offer showing rate, dates, area and branding type, and must accept before the assignment is final.</w:t>
            </w:r>
          </w:p>
        </w:tc>
        <w:tc>
          <w:tcPr>
            <w:tcW w:type="dxa" w:w="3826"/>
            <w:shd w:fill="FFFFFF" w:val="clear"/>
            <w:tcMar>
              <w:top w:type="dxa" w:w="80"/>
              <w:left w:type="dxa" w:w="140"/>
              <w:bottom w:type="dxa" w:w="80"/>
              <w:right w:type="dxa" w:w="140"/>
            </w:tcMar>
          </w:tcPr>
          <w:p>
            <w:pPr>
              <w:spacing w:after="0"/>
            </w:pPr>
            <w:r>
              <w:rPr>
                <w:color w:val="404040"/>
                <w:sz w:val="21"/>
                <w:szCs w:val="21"/>
              </w:rPr>
              <w:t xml:space="preserve">How Carvertise and Wrapify assign campaigns; a recorded acceptance prevents disputes over terms.</w:t>
            </w:r>
          </w:p>
        </w:tc>
      </w:tr>
      <w:tr>
        <w:tc>
          <w:tcPr>
            <w:tcW w:type="dxa" w:w="5200"/>
            <w:shd w:fill="F2F2F2" w:val="clear"/>
            <w:tcMar>
              <w:top w:type="dxa" w:w="80"/>
              <w:left w:type="dxa" w:w="140"/>
              <w:bottom w:type="dxa" w:w="80"/>
              <w:right w:type="dxa" w:w="140"/>
            </w:tcMar>
          </w:tcPr>
          <w:p>
            <w:pPr>
              <w:spacing w:after="0"/>
            </w:pPr>
            <w:r>
              <w:rPr>
                <w:sz w:val="21"/>
                <w:szCs w:val="21"/>
              </w:rPr>
              <w:t xml:space="preserve">Mid-campaign changes: expansions (budget, added locations) apply immediately; reductions, removals and date changes need admin approval and a recorded reason.</w:t>
            </w:r>
          </w:p>
        </w:tc>
        <w:tc>
          <w:tcPr>
            <w:tcW w:type="dxa" w:w="3826"/>
            <w:shd w:fill="F2F2F2" w:val="clear"/>
            <w:tcMar>
              <w:top w:type="dxa" w:w="80"/>
              <w:left w:type="dxa" w:w="140"/>
              <w:bottom w:type="dxa" w:w="80"/>
              <w:right w:type="dxa" w:w="140"/>
            </w:tcMar>
          </w:tcPr>
          <w:p>
            <w:pPr>
              <w:spacing w:after="0"/>
            </w:pPr>
            <w:r>
              <w:rPr>
                <w:color w:val="404040"/>
                <w:sz w:val="21"/>
                <w:szCs w:val="21"/>
              </w:rPr>
              <w:t xml:space="preserve">Growth should never wait on process; changes that cut agreed work or driver earnings need a review trail.</w:t>
            </w:r>
          </w:p>
        </w:tc>
      </w:tr>
      <w:tr>
        <w:tc>
          <w:tcPr>
            <w:tcW w:type="dxa" w:w="5200"/>
            <w:shd w:fill="FFFFFF" w:val="clear"/>
            <w:tcMar>
              <w:top w:type="dxa" w:w="80"/>
              <w:left w:type="dxa" w:w="140"/>
              <w:bottom w:type="dxa" w:w="80"/>
              <w:right w:type="dxa" w:w="140"/>
            </w:tcMar>
          </w:tcPr>
          <w:p>
            <w:pPr>
              <w:spacing w:after="0"/>
            </w:pPr>
            <w:r>
              <w:rPr>
                <w:sz w:val="21"/>
                <w:szCs w:val="21"/>
              </w:rPr>
              <w:t xml:space="preserve">Activation gates: a campaign only becomes active once payment status is met, creative is approved, vehicles are assigned and installation evidence is approved. Admin performs final activation in the pilot.</w:t>
            </w:r>
          </w:p>
        </w:tc>
        <w:tc>
          <w:tcPr>
            <w:tcW w:type="dxa" w:w="3826"/>
            <w:shd w:fill="FFFFFF" w:val="clear"/>
            <w:tcMar>
              <w:top w:type="dxa" w:w="80"/>
              <w:left w:type="dxa" w:w="140"/>
              <w:bottom w:type="dxa" w:w="80"/>
              <w:right w:type="dxa" w:w="140"/>
            </w:tcMar>
          </w:tcPr>
          <w:p>
            <w:pPr>
              <w:spacing w:after="0"/>
            </w:pPr>
            <w:r>
              <w:rPr>
                <w:color w:val="404040"/>
                <w:sz w:val="21"/>
                <w:szCs w:val="21"/>
              </w:rPr>
              <w:t xml:space="preserve">Prevents a campaign starting before the commercial, creative and physical requirements exist.</w:t>
            </w:r>
          </w:p>
        </w:tc>
      </w:tr>
      <w:tr>
        <w:tc>
          <w:tcPr>
            <w:tcW w:type="dxa" w:w="5200"/>
            <w:shd w:fill="F2F2F2" w:val="clear"/>
            <w:tcMar>
              <w:top w:type="dxa" w:w="80"/>
              <w:left w:type="dxa" w:w="140"/>
              <w:bottom w:type="dxa" w:w="80"/>
              <w:right w:type="dxa" w:w="140"/>
            </w:tcMar>
          </w:tcPr>
          <w:p>
            <w:pPr>
              <w:spacing w:after="0"/>
            </w:pPr>
            <w:r>
              <w:rPr>
                <w:sz w:val="21"/>
                <w:szCs w:val="21"/>
              </w:rPr>
              <w:t xml:space="preserve">One active campaign per vehicle during the pilot; creative files are uploaded and approved inside the platform.</w:t>
            </w:r>
          </w:p>
        </w:tc>
        <w:tc>
          <w:tcPr>
            <w:tcW w:type="dxa" w:w="3826"/>
            <w:shd w:fill="F2F2F2" w:val="clear"/>
            <w:tcMar>
              <w:top w:type="dxa" w:w="80"/>
              <w:left w:type="dxa" w:w="140"/>
              <w:bottom w:type="dxa" w:w="80"/>
              <w:right w:type="dxa" w:w="140"/>
            </w:tcMar>
          </w:tcPr>
          <w:p>
            <w:pPr>
              <w:spacing w:after="0"/>
            </w:pPr>
            <w:r>
              <w:rPr>
                <w:color w:val="404040"/>
                <w:sz w:val="21"/>
                <w:szCs w:val="21"/>
              </w:rPr>
              <w:t xml:space="preserve">Avoids competing brands, unclear earnings and scattered email attachments in the first release.</w:t>
            </w:r>
          </w:p>
        </w:tc>
      </w:tr>
      <w:tr>
        <w:tc>
          <w:tcPr>
            <w:tcW w:type="dxa" w:w="5200"/>
            <w:shd w:fill="FFFFFF" w:val="clear"/>
            <w:tcMar>
              <w:top w:type="dxa" w:w="80"/>
              <w:left w:type="dxa" w:w="140"/>
              <w:bottom w:type="dxa" w:w="80"/>
              <w:right w:type="dxa" w:w="140"/>
            </w:tcMar>
          </w:tcPr>
          <w:p>
            <w:pPr>
              <w:spacing w:after="0"/>
            </w:pPr>
            <w:r>
              <w:rPr>
                <w:sz w:val="21"/>
                <w:szCs w:val="21"/>
              </w:rPr>
              <w:t xml:space="preserve">Production: platform-managed printing, installation, removal and permits through approved vendors, with costs itemised in the quotation.</w:t>
            </w:r>
          </w:p>
        </w:tc>
        <w:tc>
          <w:tcPr>
            <w:tcW w:type="dxa" w:w="3826"/>
            <w:shd w:fill="FFFFFF" w:val="clear"/>
            <w:tcMar>
              <w:top w:type="dxa" w:w="80"/>
              <w:left w:type="dxa" w:w="140"/>
              <w:bottom w:type="dxa" w:w="80"/>
              <w:right w:type="dxa" w:w="140"/>
            </w:tcMar>
          </w:tcPr>
          <w:p>
            <w:pPr>
              <w:spacing w:after="0"/>
            </w:pPr>
            <w:r>
              <w:rPr>
                <w:color w:val="404040"/>
                <w:sz w:val="21"/>
                <w:szCs w:val="21"/>
              </w:rPr>
              <w:t xml:space="preserve">Carvertise and Wrapify both run installation through approved centres — quality and timing stay under platform control.</w:t>
            </w:r>
          </w:p>
        </w:tc>
      </w:tr>
    </w:tbl>
    <w:p>
      <w:pPr>
        <w:spacing w:after="100" w:before="240"/>
      </w:pPr>
      <w:r>
        <w:rPr>
          <w:b/>
          <w:bCs/>
          <w:color w:val="1F3864"/>
          <w:sz w:val="24"/>
          <w:szCs w:val="24"/>
        </w:rPr>
        <w:t xml:space="preserve">Drivers &amp; earnings</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5200"/>
        <w:gridCol w:w="3826"/>
      </w:tblGrid>
      <w:tr>
        <w:trPr>
          <w:tblHeader/>
        </w:trPr>
        <w:tc>
          <w:tcPr>
            <w:tcW w:type="dxa" w:w="5200"/>
            <w:shd w:fill="1F3864" w:val="clear"/>
            <w:tcMar>
              <w:top w:type="dxa" w:w="80"/>
              <w:left w:type="dxa" w:w="140"/>
              <w:bottom w:type="dxa" w:w="80"/>
              <w:right w:type="dxa" w:w="140"/>
            </w:tcMar>
          </w:tcPr>
          <w:p>
            <w:pPr>
              <w:spacing w:after="0"/>
            </w:pPr>
            <w:r>
              <w:rPr>
                <w:b/>
                <w:bCs/>
                <w:color w:val="FFFFFF"/>
                <w:sz w:val="21"/>
                <w:szCs w:val="21"/>
              </w:rPr>
              <w:t xml:space="preserve">What we are building</w:t>
            </w:r>
          </w:p>
        </w:tc>
        <w:tc>
          <w:tcPr>
            <w:tcW w:type="dxa" w:w="3826"/>
            <w:shd w:fill="1F3864" w:val="clear"/>
            <w:tcMar>
              <w:top w:type="dxa" w:w="80"/>
              <w:left w:type="dxa" w:w="140"/>
              <w:bottom w:type="dxa" w:w="80"/>
              <w:right w:type="dxa" w:w="140"/>
            </w:tcMar>
          </w:tcPr>
          <w:p>
            <w:pPr>
              <w:spacing w:after="0"/>
            </w:pPr>
            <w:r>
              <w:rPr>
                <w:b/>
                <w:bCs/>
                <w:color w:val="FFFFFF"/>
                <w:sz w:val="21"/>
                <w:szCs w:val="21"/>
              </w:rPr>
              <w:t xml:space="preserve">Why this is the standard</w:t>
            </w:r>
          </w:p>
        </w:tc>
      </w:tr>
      <w:tr>
        <w:tc>
          <w:tcPr>
            <w:tcW w:type="dxa" w:w="5200"/>
            <w:shd w:fill="FFFFFF" w:val="clear"/>
            <w:tcMar>
              <w:top w:type="dxa" w:w="80"/>
              <w:left w:type="dxa" w:w="140"/>
              <w:bottom w:type="dxa" w:w="80"/>
              <w:right w:type="dxa" w:w="140"/>
            </w:tcMar>
          </w:tcPr>
          <w:p>
            <w:pPr>
              <w:spacing w:after="0"/>
            </w:pPr>
            <w:r>
              <w:rPr>
                <w:sz w:val="21"/>
                <w:szCs w:val="21"/>
              </w:rPr>
              <w:t xml:space="preserve">Onboarding: driver self-registration with document upload (licence, vehicle registration, insurance, NIN, vehicle photos) and admin approval before any work.</w:t>
            </w:r>
          </w:p>
        </w:tc>
        <w:tc>
          <w:tcPr>
            <w:tcW w:type="dxa" w:w="3826"/>
            <w:shd w:fill="FFFFFF" w:val="clear"/>
            <w:tcMar>
              <w:top w:type="dxa" w:w="80"/>
              <w:left w:type="dxa" w:w="140"/>
              <w:bottom w:type="dxa" w:w="80"/>
              <w:right w:type="dxa" w:w="140"/>
            </w:tcMar>
          </w:tcPr>
          <w:p>
            <w:pPr>
              <w:spacing w:after="0"/>
            </w:pPr>
            <w:r>
              <w:rPr>
                <w:color w:val="404040"/>
                <w:sz w:val="21"/>
                <w:szCs w:val="21"/>
              </w:rPr>
              <w:t xml:space="preserve">The Uber/Bolt/Wrapify model: supply grows itself while the approval step keeps full control. Invite-only becomes the bottleneck immediately after a small pilot.</w:t>
            </w:r>
          </w:p>
        </w:tc>
      </w:tr>
      <w:tr>
        <w:tc>
          <w:tcPr>
            <w:tcW w:type="dxa" w:w="5200"/>
            <w:shd w:fill="F2F2F2" w:val="clear"/>
            <w:tcMar>
              <w:top w:type="dxa" w:w="80"/>
              <w:left w:type="dxa" w:w="140"/>
              <w:bottom w:type="dxa" w:w="80"/>
              <w:right w:type="dxa" w:w="140"/>
            </w:tcMar>
          </w:tcPr>
          <w:p>
            <w:pPr>
              <w:spacing w:after="0"/>
            </w:pPr>
            <w:r>
              <w:rPr>
                <w:sz w:val="21"/>
                <w:szCs w:val="21"/>
              </w:rPr>
              <w:t xml:space="preserve">Pilot vehicles: roadworthy cars meeting the documentation and condition checks. Buses, tricycles and other types are a later expansion.</w:t>
            </w:r>
          </w:p>
        </w:tc>
        <w:tc>
          <w:tcPr>
            <w:tcW w:type="dxa" w:w="3826"/>
            <w:shd w:fill="F2F2F2" w:val="clear"/>
            <w:tcMar>
              <w:top w:type="dxa" w:w="80"/>
              <w:left w:type="dxa" w:w="140"/>
              <w:bottom w:type="dxa" w:w="80"/>
              <w:right w:type="dxa" w:w="140"/>
            </w:tcMar>
          </w:tcPr>
          <w:p>
            <w:pPr>
              <w:spacing w:after="0"/>
            </w:pPr>
            <w:r>
              <w:rPr>
                <w:color w:val="404040"/>
                <w:sz w:val="21"/>
                <w:szCs w:val="21"/>
              </w:rPr>
              <w:t xml:space="preserve">A narrow first vehicle group keeps branding standards and reporting controllable.</w:t>
            </w:r>
          </w:p>
        </w:tc>
      </w:tr>
      <w:tr>
        <w:tc>
          <w:tcPr>
            <w:tcW w:type="dxa" w:w="5200"/>
            <w:shd w:fill="FFFFFF" w:val="clear"/>
            <w:tcMar>
              <w:top w:type="dxa" w:w="80"/>
              <w:left w:type="dxa" w:w="140"/>
              <w:bottom w:type="dxa" w:w="80"/>
              <w:right w:type="dxa" w:w="140"/>
            </w:tcMar>
          </w:tcPr>
          <w:p>
            <w:pPr>
              <w:spacing w:after="0"/>
            </w:pPr>
            <w:r>
              <w:rPr>
                <w:sz w:val="21"/>
                <w:szCs w:val="21"/>
              </w:rPr>
              <w:t xml:space="preserve">Driver rate: one standard hourly rate, with an admin-only override for exceptional campaigns.</w:t>
            </w:r>
          </w:p>
        </w:tc>
        <w:tc>
          <w:tcPr>
            <w:tcW w:type="dxa" w:w="3826"/>
            <w:shd w:fill="FFFFFF" w:val="clear"/>
            <w:tcMar>
              <w:top w:type="dxa" w:w="80"/>
              <w:left w:type="dxa" w:w="140"/>
              <w:bottom w:type="dxa" w:w="80"/>
              <w:right w:type="dxa" w:w="140"/>
            </w:tcMar>
          </w:tcPr>
          <w:p>
            <w:pPr>
              <w:spacing w:after="0"/>
            </w:pPr>
            <w:r>
              <w:rPr>
                <w:color w:val="404040"/>
                <w:sz w:val="21"/>
                <w:szCs w:val="21"/>
              </w:rPr>
              <w:t xml:space="preserve">Keeps earnings understandable for drivers while preserving flexibility where genuinely needed.</w:t>
            </w:r>
          </w:p>
        </w:tc>
      </w:tr>
      <w:tr>
        <w:tc>
          <w:tcPr>
            <w:tcW w:type="dxa" w:w="5200"/>
            <w:shd w:fill="F2F2F2" w:val="clear"/>
            <w:tcMar>
              <w:top w:type="dxa" w:w="80"/>
              <w:left w:type="dxa" w:w="140"/>
              <w:bottom w:type="dxa" w:w="80"/>
              <w:right w:type="dxa" w:w="140"/>
            </w:tcMar>
          </w:tcPr>
          <w:p>
            <w:pPr>
              <w:spacing w:after="0"/>
            </w:pPr>
            <w:r>
              <w:rPr>
                <w:sz w:val="21"/>
                <w:szCs w:val="21"/>
              </w:rPr>
              <w:t xml:space="preserve">Payable hours: the driver taps Start and End; within a session, only GPS-verified time that meets the campaign rules (time window, approved area, valid movement) is payable, up to the confirmed daily cap. Ineligible time is excluded, not discounted.</w:t>
            </w:r>
          </w:p>
        </w:tc>
        <w:tc>
          <w:tcPr>
            <w:tcW w:type="dxa" w:w="3826"/>
            <w:shd w:fill="F2F2F2" w:val="clear"/>
            <w:tcMar>
              <w:top w:type="dxa" w:w="80"/>
              <w:left w:type="dxa" w:w="140"/>
              <w:bottom w:type="dxa" w:w="80"/>
              <w:right w:type="dxa" w:w="140"/>
            </w:tcMar>
          </w:tcPr>
          <w:p>
            <w:pPr>
              <w:spacing w:after="0"/>
            </w:pPr>
            <w:r>
              <w:rPr>
                <w:color w:val="404040"/>
                <w:sz w:val="21"/>
                <w:szCs w:val="21"/>
              </w:rPr>
              <w:t xml:space="preserve">Verified-time pay is how established wrap platforms keep advertiser trust; exclusion is simpler and fairer than reduced rates.</w:t>
            </w:r>
          </w:p>
        </w:tc>
      </w:tr>
      <w:tr>
        <w:tc>
          <w:tcPr>
            <w:tcW w:type="dxa" w:w="5200"/>
            <w:shd w:fill="FFFFFF" w:val="clear"/>
            <w:tcMar>
              <w:top w:type="dxa" w:w="80"/>
              <w:left w:type="dxa" w:w="140"/>
              <w:bottom w:type="dxa" w:w="80"/>
              <w:right w:type="dxa" w:w="140"/>
            </w:tcMar>
          </w:tcPr>
          <w:p>
            <w:pPr>
              <w:spacing w:after="0"/>
            </w:pPr>
            <w:r>
              <w:rPr>
                <w:sz w:val="21"/>
                <w:szCs w:val="21"/>
              </w:rPr>
              <w:t xml:space="preserve">Installation evidence: an admin-approved installation photo is required before a vehicle starts earning.</w:t>
            </w:r>
          </w:p>
        </w:tc>
        <w:tc>
          <w:tcPr>
            <w:tcW w:type="dxa" w:w="3826"/>
            <w:shd w:fill="FFFFFF" w:val="clear"/>
            <w:tcMar>
              <w:top w:type="dxa" w:w="80"/>
              <w:left w:type="dxa" w:w="140"/>
              <w:bottom w:type="dxa" w:w="80"/>
              <w:right w:type="dxa" w:w="140"/>
            </w:tcMar>
          </w:tcPr>
          <w:p>
            <w:pPr>
              <w:spacing w:after="0"/>
            </w:pPr>
            <w:r>
              <w:rPr>
                <w:color w:val="404040"/>
                <w:sz w:val="21"/>
                <w:szCs w:val="21"/>
              </w:rPr>
              <w:t xml:space="preserve">Proof the advert is physically on the car, for both payouts and the advertiser record.</w:t>
            </w:r>
          </w:p>
        </w:tc>
      </w:tr>
      <w:tr>
        <w:tc>
          <w:tcPr>
            <w:tcW w:type="dxa" w:w="5200"/>
            <w:shd w:fill="F2F2F2" w:val="clear"/>
            <w:tcMar>
              <w:top w:type="dxa" w:w="80"/>
              <w:left w:type="dxa" w:w="140"/>
              <w:bottom w:type="dxa" w:w="80"/>
              <w:right w:type="dxa" w:w="140"/>
            </w:tcMar>
          </w:tcPr>
          <w:p>
            <w:pPr>
              <w:spacing w:after="0"/>
            </w:pPr>
            <w:r>
              <w:rPr>
                <w:sz w:val="21"/>
                <w:szCs w:val="21"/>
              </w:rPr>
              <w:t xml:space="preserve">Activity floor: a configurable minimum of verified hours per week; assignments auto-flag after seven consecutive inactive days.</w:t>
            </w:r>
          </w:p>
        </w:tc>
        <w:tc>
          <w:tcPr>
            <w:tcW w:type="dxa" w:w="3826"/>
            <w:shd w:fill="F2F2F2" w:val="clear"/>
            <w:tcMar>
              <w:top w:type="dxa" w:w="80"/>
              <w:left w:type="dxa" w:w="140"/>
              <w:bottom w:type="dxa" w:w="80"/>
              <w:right w:type="dxa" w:w="140"/>
            </w:tcMar>
          </w:tcPr>
          <w:p>
            <w:pPr>
              <w:spacing w:after="0"/>
            </w:pPr>
            <w:r>
              <w:rPr>
                <w:color w:val="404040"/>
                <w:sz w:val="21"/>
                <w:szCs w:val="21"/>
              </w:rPr>
              <w:t xml:space="preserve">Advertisers need assurance that assigned vehicles are actually driving; the threshold stays tunable.</w:t>
            </w:r>
          </w:p>
        </w:tc>
      </w:tr>
      <w:tr>
        <w:tc>
          <w:tcPr>
            <w:tcW w:type="dxa" w:w="5200"/>
            <w:shd w:fill="FFFFFF" w:val="clear"/>
            <w:tcMar>
              <w:top w:type="dxa" w:w="80"/>
              <w:left w:type="dxa" w:w="140"/>
              <w:bottom w:type="dxa" w:w="80"/>
              <w:right w:type="dxa" w:w="140"/>
            </w:tcMar>
          </w:tcPr>
          <w:p>
            <w:pPr>
              <w:spacing w:after="0"/>
            </w:pPr>
            <w:r>
              <w:rPr>
                <w:sz w:val="21"/>
                <w:szCs w:val="21"/>
              </w:rPr>
              <w:t xml:space="preserve">Fraud handling: earnings from seriously flagged sessions are held for admin review; drivers see the reason and can dispute; thresholds are configurable and tuned with pilot data.</w:t>
            </w:r>
          </w:p>
        </w:tc>
        <w:tc>
          <w:tcPr>
            <w:tcW w:type="dxa" w:w="3826"/>
            <w:shd w:fill="FFFFFF" w:val="clear"/>
            <w:tcMar>
              <w:top w:type="dxa" w:w="80"/>
              <w:left w:type="dxa" w:w="140"/>
              <w:bottom w:type="dxa" w:w="80"/>
              <w:right w:type="dxa" w:w="140"/>
            </w:tcMar>
          </w:tcPr>
          <w:p>
            <w:pPr>
              <w:spacing w:after="0"/>
            </w:pPr>
            <w:r>
              <w:rPr>
                <w:color w:val="404040"/>
                <w:sz w:val="21"/>
                <w:szCs w:val="21"/>
              </w:rPr>
              <w:t xml:space="preserve">Safer than arbitrary permanent penalties before real driving data exists.</w:t>
            </w:r>
          </w:p>
        </w:tc>
      </w:tr>
      <w:tr>
        <w:tc>
          <w:tcPr>
            <w:tcW w:type="dxa" w:w="5200"/>
            <w:shd w:fill="F2F2F2" w:val="clear"/>
            <w:tcMar>
              <w:top w:type="dxa" w:w="80"/>
              <w:left w:type="dxa" w:w="140"/>
              <w:bottom w:type="dxa" w:w="80"/>
              <w:right w:type="dxa" w:w="140"/>
            </w:tcMar>
          </w:tcPr>
          <w:p>
            <w:pPr>
              <w:spacing w:after="0"/>
            </w:pPr>
            <w:r>
              <w:rPr>
                <w:sz w:val="21"/>
                <w:szCs w:val="21"/>
              </w:rPr>
              <w:t xml:space="preserve">Payouts: earnings stay pending for a seven-day review window, then join a weekly payout batch. Manual bank transfers during the pilot, backed by a downloadable payout report; automated transfers come with volume. Every adjustment is audited (old value, new value, reason, person).</w:t>
            </w:r>
          </w:p>
        </w:tc>
        <w:tc>
          <w:tcPr>
            <w:tcW w:type="dxa" w:w="3826"/>
            <w:shd w:fill="F2F2F2" w:val="clear"/>
            <w:tcMar>
              <w:top w:type="dxa" w:w="80"/>
              <w:left w:type="dxa" w:w="140"/>
              <w:bottom w:type="dxa" w:w="80"/>
              <w:right w:type="dxa" w:w="140"/>
            </w:tcMar>
          </w:tcPr>
          <w:p>
            <w:pPr>
              <w:spacing w:after="0"/>
            </w:pPr>
            <w:r>
              <w:rPr>
                <w:color w:val="404040"/>
                <w:sz w:val="21"/>
                <w:szCs w:val="21"/>
              </w:rPr>
              <w:t xml:space="preserve">The review window absorbs disputes and fraud checks; manual transfers avoid paying for integration before volume justifies it.</w:t>
            </w:r>
          </w:p>
        </w:tc>
      </w:tr>
      <w:tr>
        <w:tc>
          <w:tcPr>
            <w:tcW w:type="dxa" w:w="5200"/>
            <w:shd w:fill="FFFFFF" w:val="clear"/>
            <w:tcMar>
              <w:top w:type="dxa" w:w="80"/>
              <w:left w:type="dxa" w:w="140"/>
              <w:bottom w:type="dxa" w:w="80"/>
              <w:right w:type="dxa" w:w="140"/>
            </w:tcMar>
          </w:tcPr>
          <w:p>
            <w:pPr>
              <w:spacing w:after="0"/>
            </w:pPr>
            <w:r>
              <w:rPr>
                <w:sz w:val="21"/>
                <w:szCs w:val="21"/>
              </w:rPr>
              <w:t xml:space="preserve">Cancellation: if a paid campaign is cancelled, assignments and earnings stop immediately and drivers are paid for verified hours up to that moment. The refund is settled per the campaign contract and the settlement is recorded on the campaign.</w:t>
            </w:r>
          </w:p>
        </w:tc>
        <w:tc>
          <w:tcPr>
            <w:tcW w:type="dxa" w:w="3826"/>
            <w:shd w:fill="FFFFFF" w:val="clear"/>
            <w:tcMar>
              <w:top w:type="dxa" w:w="80"/>
              <w:left w:type="dxa" w:w="140"/>
              <w:bottom w:type="dxa" w:w="80"/>
              <w:right w:type="dxa" w:w="140"/>
            </w:tcMar>
          </w:tcPr>
          <w:p>
            <w:pPr>
              <w:spacing w:after="0"/>
            </w:pPr>
            <w:r>
              <w:rPr>
                <w:color w:val="404040"/>
                <w:sz w:val="21"/>
                <w:szCs w:val="21"/>
              </w:rPr>
              <w:t xml:space="preserve">The platform needs a defined cancel flow even while refund maths stays contractual during the pilot.</w:t>
            </w:r>
          </w:p>
        </w:tc>
      </w:tr>
    </w:tbl>
    <w:p>
      <w:pPr>
        <w:spacing w:after="100" w:before="240"/>
      </w:pPr>
      <w:r>
        <w:rPr>
          <w:b/>
          <w:bCs/>
          <w:color w:val="1F3864"/>
          <w:sz w:val="24"/>
          <w:szCs w:val="24"/>
        </w:rPr>
        <w:t xml:space="preserve">Data, reporting &amp; notifications</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5200"/>
        <w:gridCol w:w="3826"/>
      </w:tblGrid>
      <w:tr>
        <w:trPr>
          <w:tblHeader/>
        </w:trPr>
        <w:tc>
          <w:tcPr>
            <w:tcW w:type="dxa" w:w="5200"/>
            <w:shd w:fill="1F3864" w:val="clear"/>
            <w:tcMar>
              <w:top w:type="dxa" w:w="80"/>
              <w:left w:type="dxa" w:w="140"/>
              <w:bottom w:type="dxa" w:w="80"/>
              <w:right w:type="dxa" w:w="140"/>
            </w:tcMar>
          </w:tcPr>
          <w:p>
            <w:pPr>
              <w:spacing w:after="0"/>
            </w:pPr>
            <w:r>
              <w:rPr>
                <w:b/>
                <w:bCs/>
                <w:color w:val="FFFFFF"/>
                <w:sz w:val="21"/>
                <w:szCs w:val="21"/>
              </w:rPr>
              <w:t xml:space="preserve">What we are building</w:t>
            </w:r>
          </w:p>
        </w:tc>
        <w:tc>
          <w:tcPr>
            <w:tcW w:type="dxa" w:w="3826"/>
            <w:shd w:fill="1F3864" w:val="clear"/>
            <w:tcMar>
              <w:top w:type="dxa" w:w="80"/>
              <w:left w:type="dxa" w:w="140"/>
              <w:bottom w:type="dxa" w:w="80"/>
              <w:right w:type="dxa" w:w="140"/>
            </w:tcMar>
          </w:tcPr>
          <w:p>
            <w:pPr>
              <w:spacing w:after="0"/>
            </w:pPr>
            <w:r>
              <w:rPr>
                <w:b/>
                <w:bCs/>
                <w:color w:val="FFFFFF"/>
                <w:sz w:val="21"/>
                <w:szCs w:val="21"/>
              </w:rPr>
              <w:t xml:space="preserve">Why this is the standard</w:t>
            </w:r>
          </w:p>
        </w:tc>
      </w:tr>
      <w:tr>
        <w:tc>
          <w:tcPr>
            <w:tcW w:type="dxa" w:w="5200"/>
            <w:shd w:fill="FFFFFF" w:val="clear"/>
            <w:tcMar>
              <w:top w:type="dxa" w:w="80"/>
              <w:left w:type="dxa" w:w="140"/>
              <w:bottom w:type="dxa" w:w="80"/>
              <w:right w:type="dxa" w:w="140"/>
            </w:tcMar>
          </w:tcPr>
          <w:p>
            <w:pPr>
              <w:spacing w:after="0"/>
            </w:pPr>
            <w:r>
              <w:rPr>
                <w:sz w:val="21"/>
                <w:szCs w:val="21"/>
              </w:rPr>
              <w:t xml:space="preserve">Reporting: verified operational results (hours, kilometres, routes, coverage) plus clearly-labelled estimated impressions, with a downloadable campaign report.</w:t>
            </w:r>
          </w:p>
        </w:tc>
        <w:tc>
          <w:tcPr>
            <w:tcW w:type="dxa" w:w="3826"/>
            <w:shd w:fill="FFFFFF" w:val="clear"/>
            <w:tcMar>
              <w:top w:type="dxa" w:w="80"/>
              <w:left w:type="dxa" w:w="140"/>
              <w:bottom w:type="dxa" w:w="80"/>
              <w:right w:type="dxa" w:w="140"/>
            </w:tcMar>
          </w:tcPr>
          <w:p>
            <w:pPr>
              <w:spacing w:after="0"/>
            </w:pPr>
            <w:r>
              <w:rPr>
                <w:color w:val="404040"/>
                <w:sz w:val="21"/>
                <w:szCs w:val="21"/>
              </w:rPr>
              <w:t xml:space="preserve">Exactly how Wrapify reports: GPS-verified activity paired with modelled impressions. Labelling estimates honestly protects your sales claims.</w:t>
            </w:r>
          </w:p>
        </w:tc>
      </w:tr>
      <w:tr>
        <w:tc>
          <w:tcPr>
            <w:tcW w:type="dxa" w:w="5200"/>
            <w:shd w:fill="F2F2F2" w:val="clear"/>
            <w:tcMar>
              <w:top w:type="dxa" w:w="80"/>
              <w:left w:type="dxa" w:w="140"/>
              <w:bottom w:type="dxa" w:w="80"/>
              <w:right w:type="dxa" w:w="140"/>
            </w:tcMar>
          </w:tcPr>
          <w:p>
            <w:pPr>
              <w:spacing w:after="0"/>
            </w:pPr>
            <w:r>
              <w:rPr>
                <w:sz w:val="21"/>
                <w:szCs w:val="21"/>
              </w:rPr>
              <w:t xml:space="preserve">Retargeting: anonymised exposure-based audience segments with a controlled export process. No direct automated push to Meta/Google in the MVP. Export stays disabled until the privacy sign-off in item 4.4.</w:t>
            </w:r>
          </w:p>
        </w:tc>
        <w:tc>
          <w:tcPr>
            <w:tcW w:type="dxa" w:w="3826"/>
            <w:shd w:fill="F2F2F2" w:val="clear"/>
            <w:tcMar>
              <w:top w:type="dxa" w:w="80"/>
              <w:left w:type="dxa" w:w="140"/>
              <w:bottom w:type="dxa" w:w="80"/>
              <w:right w:type="dxa" w:w="140"/>
            </w:tcMar>
          </w:tcPr>
          <w:p>
            <w:pPr>
              <w:spacing w:after="0"/>
            </w:pPr>
            <w:r>
              <w:rPr>
                <w:color w:val="404040"/>
                <w:sz w:val="21"/>
                <w:szCs w:val="21"/>
              </w:rPr>
              <w:t xml:space="preserve">Direct platform integrations need advertiser accounts, a confirmed data source and a compliance basis — none of which should hold up the MVP.</w:t>
            </w:r>
          </w:p>
        </w:tc>
      </w:tr>
      <w:tr>
        <w:tc>
          <w:tcPr>
            <w:tcW w:type="dxa" w:w="5200"/>
            <w:shd w:fill="FFFFFF" w:val="clear"/>
            <w:tcMar>
              <w:top w:type="dxa" w:w="80"/>
              <w:left w:type="dxa" w:w="140"/>
              <w:bottom w:type="dxa" w:w="80"/>
              <w:right w:type="dxa" w:w="140"/>
            </w:tcMar>
          </w:tcPr>
          <w:p>
            <w:pPr>
              <w:spacing w:after="0"/>
            </w:pPr>
            <w:r>
              <w:rPr>
                <w:sz w:val="21"/>
                <w:szCs w:val="21"/>
              </w:rPr>
              <w:t xml:space="preserve">Notifications: in-app plus automated email for advertisers; operations-run WhatsApp for drivers. Automated SMS/WhatsApp integration comes after the pilot.</w:t>
            </w:r>
          </w:p>
        </w:tc>
        <w:tc>
          <w:tcPr>
            <w:tcW w:type="dxa" w:w="3826"/>
            <w:shd w:fill="FFFFFF" w:val="clear"/>
            <w:tcMar>
              <w:top w:type="dxa" w:w="80"/>
              <w:left w:type="dxa" w:w="140"/>
              <w:bottom w:type="dxa" w:w="80"/>
              <w:right w:type="dxa" w:w="140"/>
            </w:tcMar>
          </w:tcPr>
          <w:p>
            <w:pPr>
              <w:spacing w:after="0"/>
            </w:pPr>
            <w:r>
              <w:rPr>
                <w:color w:val="404040"/>
                <w:sz w:val="21"/>
                <w:szCs w:val="21"/>
              </w:rPr>
              <w:t xml:space="preserve">Advertisers live in email; drivers respond fastest on WhatsApp — which operations can run manually at pilot scale for free.</w:t>
            </w:r>
          </w:p>
        </w:tc>
      </w:tr>
    </w:tbl>
    <w:p>
      <w:pPr>
        <w:spacing w:after="60"/>
      </w:pPr>
    </w:p>
    <w:p>
      <w:pPr>
        <w:pStyle w:val="Heading1"/>
        <w:spacing w:after="100" w:before="280"/>
      </w:pPr>
      <w:r>
        <w:rPr>
          <w:b/>
          <w:bCs/>
          <w:color w:val="1F3864"/>
          <w:sz w:val="28"/>
          <w:szCs w:val="28"/>
        </w:rPr>
        <w:t xml:space="preserve">3. One decision we need you to confirm</w:t>
      </w:r>
    </w:p>
    <w:tbl>
      <w:tblPr>
        <w:tblW w:type="dxa" w:w="9026"/>
        <w:tblBorders>
          <w:top w:val="single" w:color="BFBFBF" w:sz="4"/>
          <w:left w:val="single" w:color="BFBFBF" w:sz="4"/>
          <w:bottom w:val="single" w:color="BFBFBF" w:sz="4"/>
          <w:right w:val="single" w:color="BFBFBF" w:sz="4"/>
          <w:insideH w:val="none" w:color="FFFFFF" w:sz="0"/>
          <w:insideV w:val="none" w:color="FFFFFF" w:sz="0"/>
        </w:tblBorders>
      </w:tblPr>
      <w:tblGrid>
        <w:gridCol w:w="9026"/>
      </w:tblGrid>
      <w:tr>
        <w:tc>
          <w:tcPr>
            <w:tcW w:type="dxa" w:w="9026"/>
            <w:shd w:fill="FFF2CC" w:val="clear"/>
            <w:tcMar>
              <w:top w:type="dxa" w:w="160"/>
              <w:left w:type="dxa" w:w="200"/>
              <w:bottom w:type="dxa" w:w="160"/>
              <w:right w:type="dxa" w:w="200"/>
            </w:tcMar>
          </w:tcPr>
          <w:p>
            <w:pPr>
              <w:spacing w:after="120" w:before="0"/>
            </w:pPr>
            <w:r>
              <w:rPr>
                <w:b/>
                <w:bCs/>
                <w:sz w:val="21"/>
                <w:szCs w:val="21"/>
              </w:rPr>
              <w:t xml:space="preserve">Owner-drivers only for the pilot. </w:t>
            </w:r>
            <w:r>
              <w:rPr>
                <w:sz w:val="21"/>
                <w:szCs w:val="21"/>
              </w:rPr>
              <w:t xml:space="preserve">We are building the pilot so that every vehicle is registered to the driver who drives it, and that driver receives the payouts. Fleet owners (one person owning several cars driven by others) come in phase two, and the system is designed so they can be added without rework.</w:t>
            </w:r>
          </w:p>
          <w:p>
            <w:pPr>
              <w:spacing w:after="120" w:before="0"/>
            </w:pPr>
            <w:r>
              <w:rPr>
                <w:b/>
                <w:bCs/>
                <w:sz w:val="21"/>
                <w:szCs w:val="21"/>
              </w:rPr>
              <w:t xml:space="preserve">Why we need your answer: </w:t>
            </w:r>
            <w:r>
              <w:rPr>
                <w:sz w:val="21"/>
                <w:szCs w:val="21"/>
              </w:rPr>
              <w:t xml:space="preserve">many ride-hail cars in this market are fleet-owned. If your pilot driver supply will come through fleet partners rather than owner-drivers, tell us now — it changes who gets paid (driver, owner, or a split) and must be designed deliberately, not patched in mid-pilot.</w:t>
            </w:r>
          </w:p>
          <w:p>
            <w:pPr>
              <w:spacing w:after="0" w:before="0"/>
            </w:pPr>
            <w:r>
              <w:rPr>
                <w:b/>
                <w:bCs/>
                <w:sz w:val="21"/>
                <w:szCs w:val="21"/>
              </w:rPr>
              <w:t xml:space="preserve">Your answer:  [  ] Owner-drivers, as described      [  ] Our supply is fleet-based — let’s discuss</w:t>
            </w:r>
          </w:p>
        </w:tc>
      </w:tr>
    </w:tbl>
    <w:p>
      <w:pPr>
        <w:spacing w:after="60"/>
      </w:pPr>
    </w:p>
    <w:p>
      <w:pPr>
        <w:pStyle w:val="Heading1"/>
        <w:spacing w:after="100" w:before="280"/>
      </w:pPr>
      <w:r>
        <w:rPr>
          <w:b/>
          <w:bCs/>
          <w:color w:val="1F3864"/>
          <w:sz w:val="28"/>
          <w:szCs w:val="28"/>
        </w:rPr>
        <w:t xml:space="preserve">4. Open items — only you can answer these</w:t>
      </w:r>
    </w:p>
    <w:p>
      <w:pPr>
        <w:spacing w:after="160" w:before="0"/>
      </w:pPr>
      <w:r>
        <w:rPr>
          <w:b w:val="false"/>
          <w:bCs w:val="false"/>
          <w:i/>
          <w:iCs/>
          <w:color w:val="595959"/>
          <w:sz w:val="22"/>
          <w:szCs w:val="22"/>
        </w:rPr>
        <w:t xml:space="preserve">None of these block the build. Each one only blocks the step named in brackets.</w:t>
      </w:r>
    </w:p>
    <w:p>
      <w:pPr>
        <w:spacing w:after="140" w:before="0"/>
      </w:pPr>
      <w:r>
        <w:rPr>
          <w:b/>
          <w:bCs/>
          <w:sz w:val="22"/>
          <w:szCs w:val="22"/>
        </w:rPr>
        <w:t xml:space="preserve">4.1  Company &amp; billing details. </w:t>
      </w:r>
      <w:r>
        <w:rPr>
          <w:sz w:val="22"/>
          <w:szCs w:val="22"/>
        </w:rPr>
        <w:t xml:space="preserve">Registered company name, TIN, billing address, and your accountant’s confirmation of VAT treatment (we default to VAT-exclusive prices with VAT itemised — standard for Nigerian B2B — and keep it configurable). </w:t>
      </w:r>
      <w:r>
        <w:rPr>
          <w:i/>
          <w:iCs/>
          <w:color w:val="595959"/>
          <w:sz w:val="22"/>
          <w:szCs w:val="22"/>
        </w:rPr>
        <w:t xml:space="preserve">[Blocks: issuing real invoices.]</w:t>
      </w:r>
    </w:p>
    <w:p>
      <w:pPr>
        <w:spacing w:after="140" w:before="0"/>
      </w:pPr>
      <w:r>
        <w:rPr>
          <w:b/>
          <w:bCs/>
          <w:sz w:val="22"/>
          <w:szCs w:val="22"/>
        </w:rPr>
        <w:t xml:space="preserve">4.2  Product name &amp; brand. </w:t>
      </w:r>
      <w:r>
        <w:rPr>
          <w:sz w:val="22"/>
          <w:szCs w:val="22"/>
        </w:rPr>
        <w:t xml:space="preserve">We continue under the working name "Vantage". Confirm the public name, logo direction and domain. </w:t>
      </w:r>
      <w:r>
        <w:rPr>
          <w:i/>
          <w:iCs/>
          <w:color w:val="595959"/>
          <w:sz w:val="22"/>
          <w:szCs w:val="22"/>
        </w:rPr>
        <w:t xml:space="preserve">[Blocks: app listing, domain, anything distributed externally.]</w:t>
      </w:r>
    </w:p>
    <w:p>
      <w:pPr>
        <w:spacing w:after="140" w:before="0"/>
      </w:pPr>
      <w:r>
        <w:rPr>
          <w:b/>
          <w:bCs/>
          <w:sz w:val="22"/>
          <w:szCs w:val="22"/>
        </w:rPr>
        <w:t xml:space="preserve">4.3  Pilot scope. </w:t>
      </w:r>
      <w:r>
        <w:rPr>
          <w:sz w:val="22"/>
          <w:szCs w:val="22"/>
        </w:rPr>
        <w:t xml:space="preserve">Edit this proposal rather than starting from blank: one city (Lagos), 15–25 vehicles, 2–3 anchor advertisers, 8–12 weeks; success = agreed verified-hours-per-vehicle-per-week plus at least one campaign renewal or expansion. </w:t>
      </w:r>
      <w:r>
        <w:rPr>
          <w:i/>
          <w:iCs/>
          <w:color w:val="595959"/>
          <w:sz w:val="22"/>
          <w:szCs w:val="22"/>
        </w:rPr>
        <w:t xml:space="preserve">[Blocks: onboarding targets and go-live planning.]</w:t>
      </w:r>
    </w:p>
    <w:p>
      <w:pPr>
        <w:spacing w:after="140" w:before="0"/>
      </w:pPr>
      <w:r>
        <w:rPr>
          <w:b/>
          <w:bCs/>
          <w:sz w:val="22"/>
          <w:szCs w:val="22"/>
        </w:rPr>
        <w:t xml:space="preserve">4.4  Privacy &amp; legal sign-off. </w:t>
      </w:r>
      <w:r>
        <w:rPr>
          <w:sz w:val="22"/>
          <w:szCs w:val="22"/>
        </w:rPr>
        <w:t xml:space="preserve">Name the legal/compliance adviser who will approve the driver agreement, consent wording, privacy policy and data-retention rule. We keep raw-GPS retention configurable so no arbitrary number is needed now. </w:t>
      </w:r>
      <w:r>
        <w:rPr>
          <w:i/>
          <w:iCs/>
          <w:color w:val="595959"/>
          <w:sz w:val="22"/>
          <w:szCs w:val="22"/>
        </w:rPr>
        <w:t xml:space="preserve">[Blocks: live data collection at go-live and audience-segment export.]</w:t>
      </w:r>
    </w:p>
    <w:p>
      <w:pPr>
        <w:spacing w:after="140" w:before="0"/>
      </w:pPr>
      <w:r>
        <w:rPr>
          <w:b/>
          <w:bCs/>
          <w:sz w:val="22"/>
          <w:szCs w:val="22"/>
        </w:rPr>
        <w:t xml:space="preserve">4.5  Pilot operations. </w:t>
      </w:r>
      <w:r>
        <w:rPr>
          <w:sz w:val="22"/>
          <w:szCs w:val="22"/>
        </w:rPr>
        <w:t xml:space="preserve">Who runs day-to-day operations (approvals, onboarding checks, fraud review, support): your team after training, us under a support arrangement, or us supporting initially while training your team — our suggestion. </w:t>
      </w:r>
      <w:r>
        <w:rPr>
          <w:i/>
          <w:iCs/>
          <w:color w:val="595959"/>
          <w:sz w:val="22"/>
          <w:szCs w:val="22"/>
        </w:rPr>
        <w:t xml:space="preserve">[Blocks: go-live staffing.]</w:t>
      </w:r>
    </w:p>
    <w:p>
      <w:pPr>
        <w:spacing w:after="200" w:before="0"/>
      </w:pPr>
      <w:r>
        <w:rPr>
          <w:b/>
          <w:bCs/>
          <w:sz w:val="22"/>
          <w:szCs w:val="22"/>
        </w:rPr>
        <w:t xml:space="preserve">4.6  Infrastructure ownership — action item. </w:t>
      </w:r>
      <w:r>
        <w:rPr>
          <w:sz w:val="22"/>
          <w:szCs w:val="22"/>
        </w:rPr>
        <w:t xml:space="preserve">Create the company-owned cloud account and domain (we’ll specify exactly what to click), grant us access, and confirm the maximum monthly infrastructure budget. Client ownership is the standard arrangement — it keeps control of the product with the business regardless of suppliers. </w:t>
      </w:r>
      <w:r>
        <w:rPr>
          <w:i/>
          <w:iCs/>
          <w:color w:val="595959"/>
          <w:sz w:val="22"/>
          <w:szCs w:val="22"/>
        </w:rPr>
        <w:t xml:space="preserve">[Blocks: production deployment under your ownership.]</w:t>
      </w:r>
    </w:p>
    <w:tbl>
      <w:tblPr>
        <w:tblW w:type="dxa" w:w="9026"/>
        <w:tblBorders>
          <w:top w:val="single" w:color="BFBFBF" w:sz="4"/>
          <w:left w:val="single" w:color="BFBFBF" w:sz="4"/>
          <w:bottom w:val="single" w:color="BFBFBF" w:sz="4"/>
          <w:right w:val="single" w:color="BFBFBF" w:sz="4"/>
          <w:insideH w:val="none" w:color="FFFFFF" w:sz="0"/>
          <w:insideV w:val="none" w:color="FFFFFF" w:sz="0"/>
        </w:tblBorders>
      </w:tblPr>
      <w:tblGrid>
        <w:gridCol w:w="9026"/>
      </w:tblGrid>
      <w:tr>
        <w:tc>
          <w:tcPr>
            <w:tcW w:type="dxa" w:w="9026"/>
            <w:shd w:fill="DEE7F2" w:val="clear"/>
            <w:tcMar>
              <w:top w:type="dxa" w:w="160"/>
              <w:left w:type="dxa" w:w="200"/>
              <w:bottom w:type="dxa" w:w="160"/>
              <w:right w:type="dxa" w:w="200"/>
            </w:tcMar>
          </w:tcPr>
          <w:p>
            <w:pPr>
              <w:spacing w:after="0" w:before="0"/>
            </w:pPr>
            <w:r>
              <w:rPr>
                <w:b/>
                <w:bCs/>
                <w:sz w:val="21"/>
                <w:szCs w:val="21"/>
              </w:rPr>
              <w:t xml:space="preserve">What happens next. </w:t>
            </w:r>
            <w:r>
              <w:rPr>
                <w:sz w:val="21"/>
                <w:szCs w:val="21"/>
              </w:rPr>
              <w:t xml:space="preserve">We are building to Section 2 now. Section 3 plus the six items in Section 4 fit in one short reply — WhatsApp is fine. Anything you don’t flag, we treat as agreed.</w:t>
            </w:r>
          </w:p>
        </w:tc>
      </w:tr>
    </w:tbl>
    <w:sectPr>
      <w:pgSz w:w="11906" w:h="16838"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2026-07-27T14:18:06.641Z</dcterms:created>
  <dcterms:modified xsi:type="dcterms:W3CDTF">2026-07-27T14:18:06.642Z</dcterms:modified>
</cp:coreProperties>
</file>

<file path=docProps/custom.xml><?xml version="1.0" encoding="utf-8"?>
<Properties xmlns="http://schemas.openxmlformats.org/officeDocument/2006/custom-properties" xmlns:vt="http://schemas.openxmlformats.org/officeDocument/2006/docPropsVTypes"/>
</file>