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jc w:val="center"/>
      </w:pPr>
      <w:r>
        <w:rPr>
          <w:b/>
          <w:bCs/>
          <w:color w:val="1B4D2E"/>
          <w:sz w:val="44"/>
          <w:szCs w:val="44"/>
        </w:rPr>
        <w:t xml:space="preserve">Cooperative Savings &amp; Loan Platform</w:t>
      </w:r>
    </w:p>
    <w:p>
      <w:pPr>
        <w:spacing w:after="400"/>
        <w:jc w:val="center"/>
      </w:pPr>
      <w:r>
        <w:rPr>
          <w:color w:val="6B6A64"/>
          <w:sz w:val="28"/>
          <w:szCs w:val="28"/>
        </w:rPr>
        <w:t xml:space="preserve">Technical Documentation &amp; Task Allocation</w:t>
      </w:r>
    </w:p>
    <w:p>
      <w:pPr>
        <w:spacing w:after="800"/>
        <w:jc w:val="center"/>
      </w:pPr>
      <w:r>
        <w:rPr>
          <w:i/>
          <w:iCs/>
          <w:color w:val="6B6A64"/>
          <w:sz w:val="22"/>
          <w:szCs w:val="22"/>
        </w:rPr>
        <w:t xml:space="preserve">Bootcamp Group Capstone — Project 2</w:t>
      </w:r>
    </w:p>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System Overview</w:t>
      </w:r>
    </w:p>
    <w:p>
      <w:pPr>
        <w:spacing w:after="160"/>
      </w:pPr>
      <w:r>
        <w:t xml:space="preserve">The Cooperative Savings &amp; Loan Platform is a Java/Spring Boot backend, built as a modular monolith with event-driven communication between modules. Members contribute to a shared cooperative fund — manually or via Paystack — and can apply for loans, which require KYC verification, officer approval, and at least one guarantor whose own track record is checked before acceptance. Loans carry a real repayment schedule: missed installments accrue toward default, which triggers a financial liability split across guarantors as well as a borrower penalty, all posted through the same double-entry ledger that handles every other transaction. Members get a live dashboard, and the system is built to survive its own outbound calls and crashes without silently losing a financial event.</w:t>
      </w:r>
    </w:p>
    <w:p>
      <w:pPr>
        <w:spacing w:after="60" w:before="120"/>
      </w:pPr>
      <w:r>
        <w:rPr>
          <w:b/>
          <w:bCs/>
          <w:color w:val="2F7D4F"/>
          <w:sz w:val="21"/>
          <w:szCs w:val="21"/>
        </w:rPr>
        <w:t xml:space="preserve">Architecture style</w:t>
      </w:r>
    </w:p>
    <w:p>
      <w:pPr>
        <w:spacing w:after="160"/>
      </w:pPr>
      <w:r>
        <w:t xml:space="preserve">Modular monolith — one Spring Boot application, one PostgreSQL database, with each business capability isolated into its own package/module. Modules communicate either through direct calls (for synchronous needs, e.g. validating a member is active) or through Spring Application Events (for decoupled, asynchronous side effects, e.g. posting a journal entry after a contribution is recorded).</w:t>
      </w:r>
    </w:p>
    <w:p>
      <w:pPr>
        <w:spacing w:after="60" w:before="120"/>
      </w:pPr>
      <w:r>
        <w:rPr>
          <w:b/>
          <w:bCs/>
          <w:color w:val="2F7D4F"/>
          <w:sz w:val="21"/>
          <w:szCs w:val="21"/>
        </w:rPr>
        <w:t xml:space="preserve">Design principles worth understanding before touching any module</w:t>
      </w:r>
    </w:p>
    <w:p>
      <w:pPr>
        <w:pStyle w:val="ListParagraph"/>
        <w:numPr>
          <w:ilvl w:val="0"/>
          <w:numId w:val="2"/>
        </w:numPr>
        <w:spacing w:after="40"/>
      </w:pPr>
      <w:r>
        <w:rPr>
          <w:sz w:val="21"/>
          <w:szCs w:val="21"/>
        </w:rPr>
        <w:t xml:space="preserve">Single source of truth for money: the Accounting (Ledger) module is the only module allowed to write financial balances. Contribution, Loan, and Repayment modules each emit a domain event after they save their own record; Accounting listens and posts the corresponding double-entry journal entry. No module other than Accounting ever updates a balance directly.</w:t>
      </w:r>
    </w:p>
    <w:p>
      <w:pPr>
        <w:pStyle w:val="ListParagraph"/>
        <w:numPr>
          <w:ilvl w:val="0"/>
          <w:numId w:val="2"/>
        </w:numPr>
        <w:spacing w:after="40"/>
      </w:pPr>
      <w:r>
        <w:rPr>
          <w:sz w:val="21"/>
          <w:szCs w:val="21"/>
        </w:rPr>
        <w:t xml:space="preserve">Reporting is read-only (CQRS-lite): the Reporting module owns no business logic and never writes operational data. It listens to the same domain events as Accounting, maintains its own denormalized tables for fast dashboard queries, and pushes updates live over Server-Sent Events.</w:t>
      </w:r>
    </w:p>
    <w:p>
      <w:pPr>
        <w:pStyle w:val="ListParagraph"/>
        <w:numPr>
          <w:ilvl w:val="0"/>
          <w:numId w:val="2"/>
        </w:numPr>
        <w:spacing w:after="40"/>
      </w:pPr>
      <w:r>
        <w:rPr>
          <w:sz w:val="21"/>
          <w:szCs w:val="21"/>
        </w:rPr>
        <w:t xml:space="preserve">Guarantorship and risk are loan-scoped history, not standalone modules: a guarantor relationship is born when a loan request is submitted and ends when the loan closes, so it lives inside Loan Module — along with the borrower risk and guarantor credibility profiles that get derived from event history across every past loan.</w:t>
      </w:r>
    </w:p>
    <w:p>
      <w:pPr>
        <w:pStyle w:val="ListParagraph"/>
        <w:numPr>
          <w:ilvl w:val="0"/>
          <w:numId w:val="2"/>
        </w:numPr>
        <w:spacing w:after="40"/>
      </w:pPr>
      <w:r>
        <w:rPr>
          <w:sz w:val="21"/>
          <w:szCs w:val="21"/>
        </w:rPr>
        <w:t xml:space="preserve">Reliability is structural, not bolted on: every financially-meaningful event is written to a transactional outbox in the same transaction as its originating write, then dispatched by a poller — so a crash between commit and delivery can't silently lose a ledger posting. Outbound calls (Paystack, email) are wrapped in retry with exponential backoff and jitter.</w:t>
      </w:r>
    </w:p>
    <w:p>
      <w:pPr>
        <w:spacing w:after="60" w:before="120"/>
      </w:pPr>
      <w:r>
        <w:rPr>
          <w:b/>
          <w:bCs/>
          <w:color w:val="2F7D4F"/>
          <w:sz w:val="21"/>
          <w:szCs w:val="21"/>
        </w:rPr>
        <w:t xml:space="preserve">Tech stack</w:t>
      </w:r>
    </w:p>
    <w:p>
      <w:pPr>
        <w:pStyle w:val="ListParagraph"/>
        <w:numPr>
          <w:ilvl w:val="0"/>
          <w:numId w:val="2"/>
        </w:numPr>
        <w:spacing w:after="40"/>
      </w:pPr>
      <w:r>
        <w:rPr>
          <w:sz w:val="21"/>
          <w:szCs w:val="21"/>
        </w:rPr>
        <w:t xml:space="preserve">Backend: Java, Spring Boot</w:t>
      </w:r>
    </w:p>
    <w:p>
      <w:pPr>
        <w:pStyle w:val="ListParagraph"/>
        <w:numPr>
          <w:ilvl w:val="0"/>
          <w:numId w:val="2"/>
        </w:numPr>
        <w:spacing w:after="40"/>
      </w:pPr>
      <w:r>
        <w:rPr>
          <w:sz w:val="21"/>
          <w:szCs w:val="21"/>
        </w:rPr>
        <w:t xml:space="preserve">Database: PostgreSQL</w:t>
      </w:r>
    </w:p>
    <w:p>
      <w:pPr>
        <w:pStyle w:val="ListParagraph"/>
        <w:numPr>
          <w:ilvl w:val="0"/>
          <w:numId w:val="2"/>
        </w:numPr>
        <w:spacing w:after="40"/>
      </w:pPr>
      <w:r>
        <w:rPr>
          <w:sz w:val="21"/>
          <w:szCs w:val="21"/>
        </w:rPr>
        <w:t xml:space="preserve">Security: Spring Security (authentication, role-based authorization)</w:t>
      </w:r>
    </w:p>
    <w:p>
      <w:pPr>
        <w:pStyle w:val="ListParagraph"/>
        <w:numPr>
          <w:ilvl w:val="0"/>
          <w:numId w:val="2"/>
        </w:numPr>
        <w:spacing w:after="40"/>
      </w:pPr>
      <w:r>
        <w:rPr>
          <w:sz w:val="21"/>
          <w:szCs w:val="21"/>
        </w:rPr>
        <w:t xml:space="preserve">Data access: Spring Data JPA</w:t>
      </w:r>
    </w:p>
    <w:p>
      <w:pPr>
        <w:pStyle w:val="ListParagraph"/>
        <w:numPr>
          <w:ilvl w:val="0"/>
          <w:numId w:val="2"/>
        </w:numPr>
        <w:spacing w:after="40"/>
      </w:pPr>
      <w:r>
        <w:rPr>
          <w:sz w:val="21"/>
          <w:szCs w:val="21"/>
        </w:rPr>
        <w:t xml:space="preserve">Build tool: Maven</w:t>
      </w:r>
    </w:p>
    <w:p>
      <w:pPr>
        <w:pStyle w:val="ListParagraph"/>
        <w:numPr>
          <w:ilvl w:val="0"/>
          <w:numId w:val="2"/>
        </w:numPr>
        <w:spacing w:after="40"/>
      </w:pPr>
      <w:r>
        <w:rPr>
          <w:sz w:val="21"/>
          <w:szCs w:val="21"/>
        </w:rPr>
        <w:t xml:space="preserve">API documentation: OpenAPI / Swagger</w:t>
      </w:r>
    </w:p>
    <w:p>
      <w:pPr>
        <w:pStyle w:val="ListParagraph"/>
        <w:numPr>
          <w:ilvl w:val="0"/>
          <w:numId w:val="2"/>
        </w:numPr>
        <w:spacing w:after="40"/>
      </w:pPr>
      <w:r>
        <w:rPr>
          <w:sz w:val="21"/>
          <w:szCs w:val="21"/>
        </w:rPr>
        <w:t xml:space="preserve">Architecture: Modular Monolith + Event Driven (Spring Application Events, transactional outbox)</w:t>
      </w:r>
    </w:p>
    <w:p>
      <w:pPr>
        <w:pStyle w:val="ListParagraph"/>
        <w:numPr>
          <w:ilvl w:val="0"/>
          <w:numId w:val="2"/>
        </w:numPr>
        <w:spacing w:after="40"/>
      </w:pPr>
      <w:r>
        <w:rPr>
          <w:sz w:val="21"/>
          <w:szCs w:val="21"/>
        </w:rPr>
        <w:t xml:space="preserve">Live updates: Server-Sent Events (Reporting dashboard)</w:t>
      </w:r>
    </w:p>
    <w:p>
      <w:pPr>
        <w:pStyle w:val="ListParagraph"/>
        <w:numPr>
          <w:ilvl w:val="0"/>
          <w:numId w:val="2"/>
        </w:numPr>
        <w:spacing w:after="40"/>
      </w:pPr>
      <w:r>
        <w:rPr>
          <w:sz w:val="21"/>
          <w:szCs w:val="21"/>
        </w:rPr>
        <w:t xml:space="preserve">Payments: Paystack (webhook intake, signature-verified, reconciled)</w:t>
      </w:r>
    </w:p>
    <w:p>
      <w:pPr>
        <w:pBdr>
          <w:bottom w:val="single" w:color="D8D5C8" w:sz="6" w:space="4"/>
        </w:pBdr>
        <w:spacing w:after="280" w:before="100"/>
      </w:pPr>
    </w:p>
    <w:p>
      <w:pPr>
        <w:pStyle w:val="Heading1"/>
      </w:pPr>
      <w:r>
        <w:t xml:space="preserve">2. Module Specifications</w:t>
      </w:r>
    </w:p>
    <w:p>
      <w:pPr>
        <w:pStyle w:val="Heading2"/>
      </w:pPr>
      <w:r>
        <w:rPr>
          <w:color w:val="2F7D4F"/>
        </w:rPr>
        <w:t xml:space="preserve">Member Module</w:t>
      </w:r>
    </w:p>
    <w:p>
      <w:pPr>
        <w:spacing w:after="60" w:before="120"/>
      </w:pPr>
      <w:r>
        <w:rPr>
          <w:b/>
          <w:bCs/>
          <w:color w:val="2F7D4F"/>
          <w:sz w:val="21"/>
          <w:szCs w:val="21"/>
        </w:rPr>
        <w:t xml:space="preserve">Responsibility</w:t>
      </w:r>
    </w:p>
    <w:p>
      <w:pPr>
        <w:spacing w:after="160"/>
      </w:pPr>
      <w:r>
        <w:t xml:space="preserve">Owns member identity, profile, KYC status, and membership lifecycle. Every other module references Member by id but never writes to it.</w:t>
      </w:r>
    </w:p>
    <w:p>
      <w:pPr>
        <w:spacing w:after="60" w:before="120"/>
      </w:pPr>
      <w:r>
        <w:rPr>
          <w:b/>
          <w:bCs/>
          <w:color w:val="2F7D4F"/>
          <w:sz w:val="21"/>
          <w:szCs w:val="21"/>
        </w:rPr>
        <w:t xml:space="preserve">Owned Entities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AF6EE" w:val="clear"/>
            <w:tcMar>
              <w:top w:type="dxa" w:w="80"/>
              <w:left w:type="dxa" w:w="120"/>
              <w:bottom w:type="dxa" w:w="80"/>
              <w:right w:type="dxa" w:w="120"/>
            </w:tcMar>
            <w:vAlign w:val="top"/>
          </w:tcPr>
          <w:p>
            <w:pPr>
              <w:jc w:val="left"/>
            </w:pPr>
            <w:r>
              <w:rPr>
                <w:b/>
                <w:bCs/>
                <w:color w:val="1B4D2E"/>
                <w:sz w:val="19"/>
                <w:szCs w:val="19"/>
              </w:rPr>
              <w:t xml:space="preserve">Entity</w:t>
            </w:r>
          </w:p>
        </w:tc>
        <w:tc>
          <w:tcPr>
            <w:tcW w:type="dxa" w:w="6560"/>
            <w:tcBorders>
              <w:top w:val="single" w:color="CCCCCC" w:sz="1"/>
              <w:left w:val="single" w:color="CCCCCC" w:sz="1"/>
              <w:bottom w:val="single" w:color="CCCCCC" w:sz="1"/>
              <w:right w:val="single" w:color="CCCCCC" w:sz="1"/>
            </w:tcBorders>
            <w:shd w:fill="EAF6EE" w:val="clear"/>
            <w:tcMar>
              <w:top w:type="dxa" w:w="80"/>
              <w:left w:type="dxa" w:w="120"/>
              <w:bottom w:type="dxa" w:w="80"/>
              <w:right w:type="dxa" w:w="120"/>
            </w:tcMar>
            <w:vAlign w:val="top"/>
          </w:tcPr>
          <w:p>
            <w:pPr>
              <w:jc w:val="left"/>
            </w:pPr>
            <w:r>
              <w:rPr>
                <w:b/>
                <w:bCs/>
                <w:color w:val="1B4D2E"/>
                <w:sz w:val="19"/>
                <w:szCs w:val="19"/>
              </w:rPr>
              <w:t xml:space="preserve">Fields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1A1A1A"/>
                <w:sz w:val="19"/>
                <w:szCs w:val="19"/>
              </w:rPr>
              <w:t xml:space="preserve">Member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1A1A1A"/>
                <w:sz w:val="19"/>
                <w:szCs w:val="19"/>
              </w:rPr>
              <w:t xml:space="preserve">id (PK), fullName, phone, email, status, kycStatus (PENDING/VERIFIED/REJECTED), idType, idNumber, idDocumentRef, joinedAt</w:t>
            </w:r>
          </w:p>
        </w:tc>
      </w:tr>
    </w:tbl>
    <w:p>
      <w:pPr>
        <w:spacing w:after="160"/>
      </w:pPr>
    </w:p>
    <w:p>
      <w:pPr>
        <w:spacing w:after="60" w:before="120"/>
      </w:pPr>
      <w:r>
        <w:rPr>
          <w:b/>
          <w:bCs/>
          <w:color w:val="2F7D4F"/>
          <w:sz w:val="21"/>
          <w:szCs w:val="21"/>
        </w:rPr>
        <w:t xml:space="preserve">Business Rules</w:t>
      </w:r>
    </w:p>
    <w:p>
      <w:pPr>
        <w:pStyle w:val="ListParagraph"/>
        <w:numPr>
          <w:ilvl w:val="0"/>
          <w:numId w:val="2"/>
        </w:numPr>
        <w:spacing w:after="40"/>
      </w:pPr>
      <w:r>
        <w:rPr>
          <w:sz w:val="21"/>
          <w:szCs w:val="21"/>
        </w:rPr>
        <w:t xml:space="preserve">A member must be ACTIVE and KYC_VERIFIED to contribute, apply for a loan, or be accepted as a guarantor.</w:t>
      </w:r>
    </w:p>
    <w:p>
      <w:pPr>
        <w:pStyle w:val="ListParagraph"/>
        <w:numPr>
          <w:ilvl w:val="0"/>
          <w:numId w:val="2"/>
        </w:numPr>
        <w:spacing w:after="40"/>
      </w:pPr>
      <w:r>
        <w:rPr>
          <w:sz w:val="21"/>
          <w:szCs w:val="21"/>
        </w:rPr>
        <w:t xml:space="preserve">Only an officer/admin can change member status or KYC status.</w:t>
      </w:r>
    </w:p>
    <w:p>
      <w:pPr>
        <w:pStyle w:val="ListParagraph"/>
        <w:numPr>
          <w:ilvl w:val="0"/>
          <w:numId w:val="2"/>
        </w:numPr>
        <w:spacing w:after="40"/>
      </w:pPr>
      <w:r>
        <w:rPr>
          <w:sz w:val="21"/>
          <w:szCs w:val="21"/>
        </w:rPr>
        <w:t xml:space="preserve">KYC verification is manual in the MVP: an officer reviews the uploaded ID document and approves or rejects — no live identity-vendor integration.</w:t>
      </w:r>
    </w:p>
    <w:p>
      <w:pPr>
        <w:spacing w:after="60" w:before="120"/>
      </w:pPr>
      <w:r>
        <w:rPr>
          <w:b/>
          <w:bCs/>
          <w:color w:val="2F7D4F"/>
          <w:sz w:val="21"/>
          <w:szCs w:val="21"/>
        </w:rPr>
        <w:t xml:space="preserve">Key Endpoints</w:t>
      </w:r>
    </w:p>
    <w:p>
      <w:pPr>
        <w:pStyle w:val="ListParagraph"/>
        <w:numPr>
          <w:ilvl w:val="0"/>
          <w:numId w:val="2"/>
        </w:numPr>
        <w:spacing w:after="40"/>
      </w:pPr>
      <w:r>
        <w:rPr>
          <w:sz w:val="21"/>
          <w:szCs w:val="21"/>
        </w:rPr>
        <w:t xml:space="preserve">POST /api/members — register a new member (kycStatus defaults to PENDING)</w:t>
      </w:r>
    </w:p>
    <w:p>
      <w:pPr>
        <w:pStyle w:val="ListParagraph"/>
        <w:numPr>
          <w:ilvl w:val="0"/>
          <w:numId w:val="2"/>
        </w:numPr>
        <w:spacing w:after="40"/>
      </w:pPr>
      <w:r>
        <w:rPr>
          <w:sz w:val="21"/>
          <w:szCs w:val="21"/>
        </w:rPr>
        <w:t xml:space="preserve">GET /api/members/{id} — view member profile</w:t>
      </w:r>
    </w:p>
    <w:p>
      <w:pPr>
        <w:pStyle w:val="ListParagraph"/>
        <w:numPr>
          <w:ilvl w:val="0"/>
          <w:numId w:val="2"/>
        </w:numPr>
        <w:spacing w:after="40"/>
      </w:pPr>
      <w:r>
        <w:rPr>
          <w:sz w:val="21"/>
          <w:szCs w:val="21"/>
        </w:rPr>
        <w:t xml:space="preserve">PUT /api/members/{id} — update profile</w:t>
      </w:r>
    </w:p>
    <w:p>
      <w:pPr>
        <w:pStyle w:val="ListParagraph"/>
        <w:numPr>
          <w:ilvl w:val="0"/>
          <w:numId w:val="2"/>
        </w:numPr>
        <w:spacing w:after="40"/>
      </w:pPr>
      <w:r>
        <w:rPr>
          <w:sz w:val="21"/>
          <w:szCs w:val="21"/>
        </w:rPr>
        <w:t xml:space="preserve">PATCH /api/members/{id}/status — change status (officer only)</w:t>
      </w:r>
    </w:p>
    <w:p>
      <w:pPr>
        <w:pStyle w:val="ListParagraph"/>
        <w:numPr>
          <w:ilvl w:val="0"/>
          <w:numId w:val="2"/>
        </w:numPr>
        <w:spacing w:after="40"/>
      </w:pPr>
      <w:r>
        <w:rPr>
          <w:sz w:val="21"/>
          <w:szCs w:val="21"/>
        </w:rPr>
        <w:t xml:space="preserve">PATCH /api/members/{id}/kyc — approve/reject KYC (officer only)</w:t>
      </w:r>
    </w:p>
    <w:p>
      <w:pPr>
        <w:spacing w:after="60" w:before="120"/>
      </w:pPr>
      <w:r>
        <w:rPr>
          <w:b/>
          <w:bCs/>
          <w:color w:val="2F7D4F"/>
          <w:sz w:val="21"/>
          <w:szCs w:val="21"/>
        </w:rPr>
        <w:t xml:space="preserve">Dependencies</w:t>
      </w:r>
    </w:p>
    <w:p>
      <w:pPr>
        <w:spacing w:after="160"/>
      </w:pPr>
      <w:r>
        <w:t xml:space="preserve">None (foundation module — everything else depends on it).</w:t>
      </w:r>
    </w:p>
    <w:p>
      <w:pPr>
        <w:pBdr>
          <w:bottom w:val="single" w:color="D8D5C8" w:sz="6" w:space="4"/>
        </w:pBdr>
        <w:spacing w:after="280" w:before="100"/>
      </w:pPr>
    </w:p>
    <w:p>
      <w:pPr>
        <w:pStyle w:val="Heading2"/>
      </w:pPr>
      <w:r>
        <w:rPr>
          <w:color w:val="B8690A"/>
        </w:rPr>
        <w:t xml:space="preserve">Contribution Module</w:t>
      </w:r>
    </w:p>
    <w:p>
      <w:pPr>
        <w:spacing w:after="60" w:before="120"/>
      </w:pPr>
      <w:r>
        <w:rPr>
          <w:b/>
          <w:bCs/>
          <w:color w:val="2F7D4F"/>
          <w:sz w:val="21"/>
          <w:szCs w:val="21"/>
        </w:rPr>
        <w:t xml:space="preserve">Responsibility</w:t>
      </w:r>
    </w:p>
    <w:p>
      <w:pPr>
        <w:spacing w:after="160"/>
      </w:pPr>
      <w:r>
        <w:t xml:space="preserve">Records member contributions to the cooperative fund and exposes contribution history. It does not maintain the fund balance itself — that is the Accounting module's job, triggered by the event this module publishes. Contributions can be entered manually by an officer or arrive automatically via the Payment Gateway module; both paths converge on the same event.</w:t>
      </w:r>
    </w:p>
    <w:p>
      <w:pPr>
        <w:spacing w:after="60" w:before="120"/>
      </w:pPr>
      <w:r>
        <w:rPr>
          <w:b/>
          <w:bCs/>
          <w:color w:val="2F7D4F"/>
          <w:sz w:val="21"/>
          <w:szCs w:val="21"/>
        </w:rPr>
        <w:t xml:space="preserve">Owned Entities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AF6EE" w:val="clear"/>
            <w:tcMar>
              <w:top w:type="dxa" w:w="80"/>
              <w:left w:type="dxa" w:w="120"/>
              <w:bottom w:type="dxa" w:w="80"/>
              <w:right w:type="dxa" w:w="120"/>
            </w:tcMar>
            <w:vAlign w:val="top"/>
          </w:tcPr>
          <w:p>
            <w:pPr>
              <w:jc w:val="left"/>
            </w:pPr>
            <w:r>
              <w:rPr>
                <w:b/>
                <w:bCs/>
                <w:color w:val="1B4D2E"/>
                <w:sz w:val="19"/>
                <w:szCs w:val="19"/>
              </w:rPr>
              <w:t xml:space="preserve">Entity</w:t>
            </w:r>
          </w:p>
        </w:tc>
        <w:tc>
          <w:tcPr>
            <w:tcW w:type="dxa" w:w="6560"/>
            <w:tcBorders>
              <w:top w:val="single" w:color="CCCCCC" w:sz="1"/>
              <w:left w:val="single" w:color="CCCCCC" w:sz="1"/>
              <w:bottom w:val="single" w:color="CCCCCC" w:sz="1"/>
              <w:right w:val="single" w:color="CCCCCC" w:sz="1"/>
            </w:tcBorders>
            <w:shd w:fill="EAF6EE" w:val="clear"/>
            <w:tcMar>
              <w:top w:type="dxa" w:w="80"/>
              <w:left w:type="dxa" w:w="120"/>
              <w:bottom w:type="dxa" w:w="80"/>
              <w:right w:type="dxa" w:w="120"/>
            </w:tcMar>
            <w:vAlign w:val="top"/>
          </w:tcPr>
          <w:p>
            <w:pPr>
              <w:jc w:val="left"/>
            </w:pPr>
            <w:r>
              <w:rPr>
                <w:b/>
                <w:bCs/>
                <w:color w:val="1B4D2E"/>
                <w:sz w:val="19"/>
                <w:szCs w:val="19"/>
              </w:rPr>
              <w:t xml:space="preserve">Fields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1A1A1A"/>
                <w:sz w:val="19"/>
                <w:szCs w:val="19"/>
              </w:rPr>
              <w:t xml:space="preserve">Contribution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1A1A1A"/>
                <w:sz w:val="19"/>
                <w:szCs w:val="19"/>
              </w:rPr>
              <w:t xml:space="preserve">id (PK), memberId (FK), amount, contributionDate, reference, source (MANUAL/PAYSTACK), recordedBy</w:t>
            </w:r>
          </w:p>
        </w:tc>
      </w:tr>
    </w:tbl>
    <w:p>
      <w:pPr>
        <w:spacing w:after="160"/>
      </w:pPr>
    </w:p>
    <w:p>
      <w:pPr>
        <w:spacing w:after="60" w:before="120"/>
      </w:pPr>
      <w:r>
        <w:rPr>
          <w:b/>
          <w:bCs/>
          <w:color w:val="2F7D4F"/>
          <w:sz w:val="21"/>
          <w:szCs w:val="21"/>
        </w:rPr>
        <w:t xml:space="preserve">Business Rules</w:t>
      </w:r>
    </w:p>
    <w:p>
      <w:pPr>
        <w:pStyle w:val="ListParagraph"/>
        <w:numPr>
          <w:ilvl w:val="0"/>
          <w:numId w:val="2"/>
        </w:numPr>
        <w:spacing w:after="40"/>
      </w:pPr>
      <w:r>
        <w:rPr>
          <w:sz w:val="21"/>
          <w:szCs w:val="21"/>
        </w:rPr>
        <w:t xml:space="preserve">Member must be ACTIVE and KYC_VERIFIED.</w:t>
      </w:r>
    </w:p>
    <w:p>
      <w:pPr>
        <w:pStyle w:val="ListParagraph"/>
        <w:numPr>
          <w:ilvl w:val="0"/>
          <w:numId w:val="2"/>
        </w:numPr>
        <w:spacing w:after="40"/>
      </w:pPr>
      <w:r>
        <w:rPr>
          <w:sz w:val="21"/>
          <w:szCs w:val="21"/>
        </w:rPr>
        <w:t xml:space="preserve">Amount must be positive.</w:t>
      </w:r>
    </w:p>
    <w:p>
      <w:pPr>
        <w:pStyle w:val="ListParagraph"/>
        <w:numPr>
          <w:ilvl w:val="0"/>
          <w:numId w:val="2"/>
        </w:numPr>
        <w:spacing w:after="40"/>
      </w:pPr>
      <w:r>
        <w:rPr>
          <w:sz w:val="21"/>
          <w:szCs w:val="21"/>
        </w:rPr>
        <w:t xml:space="preserve">Contributions cannot be withdrawn (MVP).</w:t>
      </w:r>
    </w:p>
    <w:p>
      <w:pPr>
        <w:spacing w:after="60" w:before="120"/>
      </w:pPr>
      <w:r>
        <w:rPr>
          <w:b/>
          <w:bCs/>
          <w:color w:val="2F7D4F"/>
          <w:sz w:val="21"/>
          <w:szCs w:val="21"/>
        </w:rPr>
        <w:t xml:space="preserve">Domain Events Published</w:t>
      </w:r>
    </w:p>
    <w:p>
      <w:pPr>
        <w:pStyle w:val="ListParagraph"/>
        <w:numPr>
          <w:ilvl w:val="0"/>
          <w:numId w:val="2"/>
        </w:numPr>
        <w:spacing w:after="40"/>
      </w:pPr>
      <w:r>
        <w:rPr>
          <w:sz w:val="21"/>
          <w:szCs w:val="21"/>
        </w:rPr>
        <w:t xml:space="preserve">ContributionMadeEvent — published after a contribution is successfully saved, regardless of source.</w:t>
      </w:r>
    </w:p>
    <w:p>
      <w:pPr>
        <w:spacing w:after="60" w:before="120"/>
      </w:pPr>
      <w:r>
        <w:rPr>
          <w:b/>
          <w:bCs/>
          <w:color w:val="2F7D4F"/>
          <w:sz w:val="21"/>
          <w:szCs w:val="21"/>
        </w:rPr>
        <w:t xml:space="preserve">Key Endpoints</w:t>
      </w:r>
    </w:p>
    <w:p>
      <w:pPr>
        <w:pStyle w:val="ListParagraph"/>
        <w:numPr>
          <w:ilvl w:val="0"/>
          <w:numId w:val="2"/>
        </w:numPr>
        <w:spacing w:after="40"/>
      </w:pPr>
      <w:r>
        <w:rPr>
          <w:sz w:val="21"/>
          <w:szCs w:val="21"/>
        </w:rPr>
        <w:t xml:space="preserve">POST /api/contributions — record a contribution (manual, officer-entered)</w:t>
      </w:r>
    </w:p>
    <w:p>
      <w:pPr>
        <w:pStyle w:val="ListParagraph"/>
        <w:numPr>
          <w:ilvl w:val="0"/>
          <w:numId w:val="2"/>
        </w:numPr>
        <w:spacing w:after="40"/>
      </w:pPr>
      <w:r>
        <w:rPr>
          <w:sz w:val="21"/>
          <w:szCs w:val="21"/>
        </w:rPr>
        <w:t xml:space="preserve">GET /api/contributions/member/{memberId} — contribution history</w:t>
      </w:r>
    </w:p>
    <w:p>
      <w:pPr>
        <w:pStyle w:val="ListParagraph"/>
        <w:numPr>
          <w:ilvl w:val="0"/>
          <w:numId w:val="2"/>
        </w:numPr>
        <w:spacing w:after="40"/>
      </w:pPr>
      <w:r>
        <w:rPr>
          <w:sz w:val="21"/>
          <w:szCs w:val="21"/>
        </w:rPr>
        <w:t xml:space="preserve">GET /api/contributions/member/{memberId}/summary — running total</w:t>
      </w:r>
    </w:p>
    <w:p>
      <w:pPr>
        <w:spacing w:after="60" w:before="120"/>
      </w:pPr>
      <w:r>
        <w:rPr>
          <w:b/>
          <w:bCs/>
          <w:color w:val="2F7D4F"/>
          <w:sz w:val="21"/>
          <w:szCs w:val="21"/>
        </w:rPr>
        <w:t xml:space="preserve">Dependencies</w:t>
      </w:r>
    </w:p>
    <w:p>
      <w:pPr>
        <w:spacing w:after="160"/>
      </w:pPr>
      <w:r>
        <w:t xml:space="preserve">Member Module; Payment Gateway Module (an alternate entry point into the same record-and-publish path).</w:t>
      </w:r>
    </w:p>
    <w:p>
      <w:pPr>
        <w:pBdr>
          <w:bottom w:val="single" w:color="D8D5C8" w:sz="6" w:space="4"/>
        </w:pBdr>
        <w:spacing w:after="280" w:before="100"/>
      </w:pPr>
    </w:p>
    <w:p>
      <w:pPr>
        <w:pStyle w:val="Heading2"/>
      </w:pPr>
      <w:r>
        <w:rPr>
          <w:color w:val="1565C0"/>
        </w:rPr>
        <w:t xml:space="preserve">Loan Module</w:t>
      </w:r>
    </w:p>
    <w:p>
      <w:pPr>
        <w:spacing w:after="60" w:before="120"/>
      </w:pPr>
      <w:r>
        <w:rPr>
          <w:b/>
          <w:bCs/>
          <w:color w:val="2F7D4F"/>
          <w:sz w:val="21"/>
          <w:szCs w:val="21"/>
        </w:rPr>
        <w:t xml:space="preserve">Responsibility</w:t>
      </w:r>
    </w:p>
    <w:p>
      <w:pPr>
        <w:spacing w:after="160"/>
      </w:pPr>
      <w:r>
        <w:t xml:space="preserve">Owns the full loan lifecycle end to end: request submission, guarantor management, officer approval, disbursement, the repayment schedule, default detection, and the financial/reputational consequences of default. This is the largest module in the system by design — guarantorship and borrower risk only mean anything in the context of a specific loan's history, so they live here rather than as standalone modules.</w:t>
      </w:r>
    </w:p>
    <w:p>
      <w:pPr>
        <w:spacing w:after="60" w:before="120"/>
      </w:pPr>
      <w:r>
        <w:rPr>
          <w:b/>
          <w:bCs/>
          <w:color w:val="2F7D4F"/>
          <w:sz w:val="21"/>
          <w:szCs w:val="21"/>
        </w:rPr>
        <w:t xml:space="preserve">Owned Entities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AF6EE" w:val="clear"/>
            <w:tcMar>
              <w:top w:type="dxa" w:w="80"/>
              <w:left w:type="dxa" w:w="120"/>
              <w:bottom w:type="dxa" w:w="80"/>
              <w:right w:type="dxa" w:w="120"/>
            </w:tcMar>
            <w:vAlign w:val="top"/>
          </w:tcPr>
          <w:p>
            <w:pPr>
              <w:jc w:val="left"/>
            </w:pPr>
            <w:r>
              <w:rPr>
                <w:b/>
                <w:bCs/>
                <w:color w:val="1B4D2E"/>
                <w:sz w:val="19"/>
                <w:szCs w:val="19"/>
              </w:rPr>
              <w:t xml:space="preserve">Entity</w:t>
            </w:r>
          </w:p>
        </w:tc>
        <w:tc>
          <w:tcPr>
            <w:tcW w:type="dxa" w:w="6560"/>
            <w:tcBorders>
              <w:top w:val="single" w:color="CCCCCC" w:sz="1"/>
              <w:left w:val="single" w:color="CCCCCC" w:sz="1"/>
              <w:bottom w:val="single" w:color="CCCCCC" w:sz="1"/>
              <w:right w:val="single" w:color="CCCCCC" w:sz="1"/>
            </w:tcBorders>
            <w:shd w:fill="EAF6EE" w:val="clear"/>
            <w:tcMar>
              <w:top w:type="dxa" w:w="80"/>
              <w:left w:type="dxa" w:w="120"/>
              <w:bottom w:type="dxa" w:w="80"/>
              <w:right w:type="dxa" w:w="120"/>
            </w:tcMar>
            <w:vAlign w:val="top"/>
          </w:tcPr>
          <w:p>
            <w:pPr>
              <w:jc w:val="left"/>
            </w:pPr>
            <w:r>
              <w:rPr>
                <w:b/>
                <w:bCs/>
                <w:color w:val="1B4D2E"/>
                <w:sz w:val="19"/>
                <w:szCs w:val="19"/>
              </w:rPr>
              <w:t xml:space="preserve">Fields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1A1A1A"/>
                <w:sz w:val="19"/>
                <w:szCs w:val="19"/>
              </w:rPr>
              <w:t xml:space="preserve">LoanRequest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1A1A1A"/>
                <w:sz w:val="19"/>
                <w:szCs w:val="19"/>
              </w:rPr>
              <w:t xml:space="preserve">id (PK), memberId (FK), amountRequested, purpose, status, submittedAt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1A1A1A"/>
                <w:sz w:val="19"/>
                <w:szCs w:val="19"/>
              </w:rPr>
              <w:t xml:space="preserve">Loan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1A1A1A"/>
                <w:sz w:val="19"/>
                <w:szCs w:val="19"/>
              </w:rPr>
              <w:t xml:space="preserve">id (PK), loanRequestId (FK), memberId (FK), principalAmount, interestRate, durationMonths, disbursedDate, status (ACTIVE/CLOSED/DEFAULTED), outstandingBalance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1A1A1A"/>
                <w:sz w:val="19"/>
                <w:szCs w:val="19"/>
              </w:rPr>
              <w:t xml:space="preserve">LoanGuarantor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1A1A1A"/>
                <w:sz w:val="19"/>
                <w:szCs w:val="19"/>
              </w:rPr>
              <w:t xml:space="preserve">id (PK), loanId (FK), memberId (FK), status (PENDING/ACCEPTED/DECLINED)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1A1A1A"/>
                <w:sz w:val="19"/>
                <w:szCs w:val="19"/>
              </w:rPr>
              <w:t xml:space="preserve">LoanInstallment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1A1A1A"/>
                <w:sz w:val="19"/>
                <w:szCs w:val="19"/>
              </w:rPr>
              <w:t xml:space="preserve">id (PK), loanId (FK), installmentNumber, dueDate, expectedAmount, status (PENDING/PAID/LATE/DEFAULTED), paidDate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1A1A1A"/>
                <w:sz w:val="19"/>
                <w:szCs w:val="19"/>
              </w:rPr>
              <w:t xml:space="preserve">GuarantorLiability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1A1A1A"/>
                <w:sz w:val="19"/>
                <w:szCs w:val="19"/>
              </w:rPr>
              <w:t xml:space="preserve">id (PK), loanId (FK), guarantorMemberId (FK), amount, status (PENDING/PAID/WAIVED), assignedAt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1A1A1A"/>
                <w:sz w:val="19"/>
                <w:szCs w:val="19"/>
              </w:rPr>
              <w:t xml:space="preserve">borrower_risk_profile (projection)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1A1A1A"/>
                <w:sz w:val="19"/>
                <w:szCs w:val="19"/>
              </w:rPr>
              <w:t xml:space="preserve">memberId, totalLoans, defaultedLoans, lateLoanPayments, currentRiskTier — rebuilt from event history, read by the approval workflow</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1A1A1A"/>
                <w:sz w:val="19"/>
                <w:szCs w:val="19"/>
              </w:rPr>
              <w:t xml:space="preserve">guarantor_credibility_profile (projection)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1A1A1A"/>
                <w:sz w:val="19"/>
                <w:szCs w:val="19"/>
              </w:rPr>
              <w:t xml:space="preserve">memberId, timesGuaranteed, loansWentBad, credibilityScore — rebuilt from event history, shown to prospective loanees</w:t>
            </w:r>
          </w:p>
        </w:tc>
      </w:tr>
    </w:tbl>
    <w:p>
      <w:pPr>
        <w:spacing w:after="160"/>
      </w:pPr>
    </w:p>
    <w:p>
      <w:pPr>
        <w:spacing w:after="60" w:before="120"/>
      </w:pPr>
      <w:r>
        <w:rPr>
          <w:b/>
          <w:bCs/>
          <w:color w:val="2F7D4F"/>
          <w:sz w:val="21"/>
          <w:szCs w:val="21"/>
        </w:rPr>
        <w:t xml:space="preserve">Business Rules</w:t>
      </w:r>
    </w:p>
    <w:p>
      <w:pPr>
        <w:pStyle w:val="ListParagraph"/>
        <w:numPr>
          <w:ilvl w:val="0"/>
          <w:numId w:val="2"/>
        </w:numPr>
        <w:spacing w:after="40"/>
      </w:pPr>
      <w:r>
        <w:rPr>
          <w:sz w:val="21"/>
          <w:szCs w:val="21"/>
        </w:rPr>
        <w:t xml:space="preserve">Member must be ACTIVE and KYC_VERIFIED to submit a request.</w:t>
      </w:r>
    </w:p>
    <w:p>
      <w:pPr>
        <w:pStyle w:val="ListParagraph"/>
        <w:numPr>
          <w:ilvl w:val="0"/>
          <w:numId w:val="2"/>
        </w:numPr>
        <w:spacing w:after="40"/>
      </w:pPr>
      <w:r>
        <w:rPr>
          <w:sz w:val="21"/>
          <w:szCs w:val="21"/>
        </w:rPr>
        <w:t xml:space="preserve">A request needs at least one ACCEPTED guarantor before it can be approved.</w:t>
      </w:r>
    </w:p>
    <w:p>
      <w:pPr>
        <w:pStyle w:val="ListParagraph"/>
        <w:numPr>
          <w:ilvl w:val="0"/>
          <w:numId w:val="2"/>
        </w:numPr>
        <w:spacing w:after="40"/>
      </w:pPr>
      <w:r>
        <w:rPr>
          <w:sz w:val="21"/>
          <w:szCs w:val="21"/>
        </w:rPr>
        <w:t xml:space="preserve">Before approval, the system checks the borrower's risk profile (e.g. no other active default) and each guarantor's credibility — simple rule gates in the MVP (active default? below a minimum credibility tier?), not a weighted numeric model.</w:t>
      </w:r>
    </w:p>
    <w:p>
      <w:pPr>
        <w:pStyle w:val="ListParagraph"/>
        <w:numPr>
          <w:ilvl w:val="0"/>
          <w:numId w:val="2"/>
        </w:numPr>
        <w:spacing w:after="40"/>
      </w:pPr>
      <w:r>
        <w:rPr>
          <w:sz w:val="21"/>
          <w:szCs w:val="21"/>
        </w:rPr>
        <w:t xml:space="preserve">Only an officer can approve or reject a request; approval creates the Loan and its LoanInstallment schedule.</w:t>
      </w:r>
    </w:p>
    <w:p>
      <w:pPr>
        <w:pStyle w:val="ListParagraph"/>
        <w:numPr>
          <w:ilvl w:val="0"/>
          <w:numId w:val="2"/>
        </w:numPr>
        <w:spacing w:after="40"/>
      </w:pPr>
      <w:r>
        <w:rPr>
          <w:sz w:val="21"/>
          <w:szCs w:val="21"/>
        </w:rPr>
        <w:t xml:space="preserve">A daily scheduled job compares each installment's dueDate against today; an installment past its grace period without payment is marked LATE, and N consecutive LATE installments mark the Loan DEFAULTED.</w:t>
      </w:r>
    </w:p>
    <w:p>
      <w:pPr>
        <w:pStyle w:val="ListParagraph"/>
        <w:numPr>
          <w:ilvl w:val="0"/>
          <w:numId w:val="2"/>
        </w:numPr>
        <w:spacing w:after="40"/>
      </w:pPr>
      <w:r>
        <w:rPr>
          <w:sz w:val="21"/>
          <w:szCs w:val="21"/>
        </w:rPr>
        <w:t xml:space="preserve">On default: the defaulted outstanding balance is split equally across all ACCEPTED guarantors into GuarantorLiability records, and a penalty is assessed against the borrower (posted by Accounting).</w:t>
      </w:r>
    </w:p>
    <w:p>
      <w:pPr>
        <w:pStyle w:val="ListParagraph"/>
        <w:numPr>
          <w:ilvl w:val="0"/>
          <w:numId w:val="2"/>
        </w:numPr>
        <w:spacing w:after="40"/>
      </w:pPr>
      <w:r>
        <w:rPr>
          <w:sz w:val="21"/>
          <w:szCs w:val="21"/>
        </w:rPr>
        <w:t xml:space="preserve">Every loan outcome (clean close, late payments, default) updates the borrower's risk profile and each guarantor's credibility profile.</w:t>
      </w:r>
    </w:p>
    <w:p>
      <w:pPr>
        <w:spacing w:after="60" w:before="120"/>
      </w:pPr>
      <w:r>
        <w:rPr>
          <w:b/>
          <w:bCs/>
          <w:color w:val="2F7D4F"/>
          <w:sz w:val="21"/>
          <w:szCs w:val="21"/>
        </w:rPr>
        <w:t xml:space="preserve">Domain Events Published</w:t>
      </w:r>
    </w:p>
    <w:p>
      <w:pPr>
        <w:pStyle w:val="ListParagraph"/>
        <w:numPr>
          <w:ilvl w:val="0"/>
          <w:numId w:val="2"/>
        </w:numPr>
        <w:spacing w:after="40"/>
      </w:pPr>
      <w:r>
        <w:rPr>
          <w:sz w:val="21"/>
          <w:szCs w:val="21"/>
        </w:rPr>
        <w:t xml:space="preserve">LoanRequestedEvent — on submission.</w:t>
      </w:r>
    </w:p>
    <w:p>
      <w:pPr>
        <w:pStyle w:val="ListParagraph"/>
        <w:numPr>
          <w:ilvl w:val="0"/>
          <w:numId w:val="2"/>
        </w:numPr>
        <w:spacing w:after="40"/>
      </w:pPr>
      <w:r>
        <w:rPr>
          <w:sz w:val="21"/>
          <w:szCs w:val="21"/>
        </w:rPr>
        <w:t xml:space="preserve">GuarantorInvitedEvent — when a guarantor is added to a request.</w:t>
      </w:r>
    </w:p>
    <w:p>
      <w:pPr>
        <w:pStyle w:val="ListParagraph"/>
        <w:numPr>
          <w:ilvl w:val="0"/>
          <w:numId w:val="2"/>
        </w:numPr>
        <w:spacing w:after="40"/>
      </w:pPr>
      <w:r>
        <w:rPr>
          <w:sz w:val="21"/>
          <w:szCs w:val="21"/>
        </w:rPr>
        <w:t xml:space="preserve">LoanApprovedEvent — on officer approval (carries the installment schedule).</w:t>
      </w:r>
    </w:p>
    <w:p>
      <w:pPr>
        <w:pStyle w:val="ListParagraph"/>
        <w:numPr>
          <w:ilvl w:val="0"/>
          <w:numId w:val="2"/>
        </w:numPr>
        <w:spacing w:after="40"/>
      </w:pPr>
      <w:r>
        <w:rPr>
          <w:sz w:val="21"/>
          <w:szCs w:val="21"/>
        </w:rPr>
        <w:t xml:space="preserve">LoanDefaultedEvent — fired by the scheduled sweep; carries the new GuarantorLiability records.</w:t>
      </w:r>
    </w:p>
    <w:p>
      <w:pPr>
        <w:spacing w:after="60" w:before="120"/>
      </w:pPr>
      <w:r>
        <w:rPr>
          <w:b/>
          <w:bCs/>
          <w:color w:val="2F7D4F"/>
          <w:sz w:val="21"/>
          <w:szCs w:val="21"/>
        </w:rPr>
        <w:t xml:space="preserve">Domain Events Consumed</w:t>
      </w:r>
    </w:p>
    <w:p>
      <w:pPr>
        <w:pStyle w:val="ListParagraph"/>
        <w:numPr>
          <w:ilvl w:val="0"/>
          <w:numId w:val="2"/>
        </w:numPr>
        <w:spacing w:after="40"/>
      </w:pPr>
      <w:r>
        <w:rPr>
          <w:sz w:val="21"/>
          <w:szCs w:val="21"/>
        </w:rPr>
        <w:t xml:space="preserve">RepaymentMadeEvent — to mark the matching installment PAID and recalculate outstandingBalance / trigger clean closure.</w:t>
      </w:r>
    </w:p>
    <w:p>
      <w:pPr>
        <w:spacing w:after="60" w:before="120"/>
      </w:pPr>
      <w:r>
        <w:rPr>
          <w:b/>
          <w:bCs/>
          <w:color w:val="2F7D4F"/>
          <w:sz w:val="21"/>
          <w:szCs w:val="21"/>
        </w:rPr>
        <w:t xml:space="preserve">Key Endpoints</w:t>
      </w:r>
    </w:p>
    <w:p>
      <w:pPr>
        <w:pStyle w:val="ListParagraph"/>
        <w:numPr>
          <w:ilvl w:val="0"/>
          <w:numId w:val="2"/>
        </w:numPr>
        <w:spacing w:after="40"/>
      </w:pPr>
      <w:r>
        <w:rPr>
          <w:sz w:val="21"/>
          <w:szCs w:val="21"/>
        </w:rPr>
        <w:t xml:space="preserve">POST /api/loan-requests — submit a loan request</w:t>
      </w:r>
    </w:p>
    <w:p>
      <w:pPr>
        <w:pStyle w:val="ListParagraph"/>
        <w:numPr>
          <w:ilvl w:val="0"/>
          <w:numId w:val="2"/>
        </w:numPr>
        <w:spacing w:after="40"/>
      </w:pPr>
      <w:r>
        <w:rPr>
          <w:sz w:val="21"/>
          <w:szCs w:val="21"/>
        </w:rPr>
        <w:t xml:space="preserve">POST /api/loan-requests/{id}/guarantors — add a guarantor</w:t>
      </w:r>
    </w:p>
    <w:p>
      <w:pPr>
        <w:pStyle w:val="ListParagraph"/>
        <w:numPr>
          <w:ilvl w:val="0"/>
          <w:numId w:val="2"/>
        </w:numPr>
        <w:spacing w:after="40"/>
      </w:pPr>
      <w:r>
        <w:rPr>
          <w:sz w:val="21"/>
          <w:szCs w:val="21"/>
        </w:rPr>
        <w:t xml:space="preserve">POST /api/guarantors/{id}/accept | /decline — guarantor responds</w:t>
      </w:r>
    </w:p>
    <w:p>
      <w:pPr>
        <w:pStyle w:val="ListParagraph"/>
        <w:numPr>
          <w:ilvl w:val="0"/>
          <w:numId w:val="2"/>
        </w:numPr>
        <w:spacing w:after="40"/>
      </w:pPr>
      <w:r>
        <w:rPr>
          <w:sz w:val="21"/>
          <w:szCs w:val="21"/>
        </w:rPr>
        <w:t xml:space="preserve">GET /api/members/available-guarantors — members a loanee can choose, with credibility scores</w:t>
      </w:r>
    </w:p>
    <w:p>
      <w:pPr>
        <w:pStyle w:val="ListParagraph"/>
        <w:numPr>
          <w:ilvl w:val="0"/>
          <w:numId w:val="2"/>
        </w:numPr>
        <w:spacing w:after="40"/>
      </w:pPr>
      <w:r>
        <w:rPr>
          <w:sz w:val="21"/>
          <w:szCs w:val="21"/>
        </w:rPr>
        <w:t xml:space="preserve">GET /api/members/{memberId}/guarantor-invites — pending requests a guarantor can review, with the requester's risk score</w:t>
      </w:r>
    </w:p>
    <w:p>
      <w:pPr>
        <w:pStyle w:val="ListParagraph"/>
        <w:numPr>
          <w:ilvl w:val="0"/>
          <w:numId w:val="2"/>
        </w:numPr>
        <w:spacing w:after="40"/>
      </w:pPr>
      <w:r>
        <w:rPr>
          <w:sz w:val="21"/>
          <w:szCs w:val="21"/>
        </w:rPr>
        <w:t xml:space="preserve">POST /api/loan-requests/{id}/approve | /reject — officer decision</w:t>
      </w:r>
    </w:p>
    <w:p>
      <w:pPr>
        <w:pStyle w:val="ListParagraph"/>
        <w:numPr>
          <w:ilvl w:val="0"/>
          <w:numId w:val="2"/>
        </w:numPr>
        <w:spacing w:after="40"/>
      </w:pPr>
      <w:r>
        <w:rPr>
          <w:sz w:val="21"/>
          <w:szCs w:val="21"/>
        </w:rPr>
        <w:t xml:space="preserve">GET /api/loans/{id} — status, schedule, outstanding balance</w:t>
      </w:r>
    </w:p>
    <w:p>
      <w:pPr>
        <w:pStyle w:val="ListParagraph"/>
        <w:numPr>
          <w:ilvl w:val="0"/>
          <w:numId w:val="2"/>
        </w:numPr>
        <w:spacing w:after="40"/>
      </w:pPr>
      <w:r>
        <w:rPr>
          <w:sz w:val="21"/>
          <w:szCs w:val="21"/>
        </w:rPr>
        <w:t xml:space="preserve">GET /api/loans/{id}/guarantor-liabilities — liability records after a default</w:t>
      </w:r>
    </w:p>
    <w:p>
      <w:pPr>
        <w:spacing w:after="60" w:before="120"/>
      </w:pPr>
      <w:r>
        <w:rPr>
          <w:b/>
          <w:bCs/>
          <w:color w:val="2F7D4F"/>
          <w:sz w:val="21"/>
          <w:szCs w:val="21"/>
        </w:rPr>
        <w:t xml:space="preserve">Dependencies</w:t>
      </w:r>
    </w:p>
    <w:p>
      <w:pPr>
        <w:spacing w:after="160"/>
      </w:pPr>
      <w:r>
        <w:t xml:space="preserve">Member Module (active + KYC checks); reacts to Repayment Module's events; triggers Accounting and Notification via its own events.</w:t>
      </w:r>
    </w:p>
    <w:p>
      <w:pPr>
        <w:pBdr>
          <w:bottom w:val="single" w:color="D8D5C8" w:sz="6" w:space="4"/>
        </w:pBdr>
        <w:spacing w:after="280" w:before="100"/>
      </w:pPr>
    </w:p>
    <w:p>
      <w:pPr>
        <w:pStyle w:val="Heading2"/>
      </w:pPr>
      <w:r>
        <w:rPr>
          <w:color w:val="C2542C"/>
        </w:rPr>
        <w:t xml:space="preserve">Repayment Module</w:t>
      </w:r>
    </w:p>
    <w:p>
      <w:pPr>
        <w:spacing w:after="60" w:before="120"/>
      </w:pPr>
      <w:r>
        <w:rPr>
          <w:b/>
          <w:bCs/>
          <w:color w:val="2F7D4F"/>
          <w:sz w:val="21"/>
          <w:szCs w:val="21"/>
        </w:rPr>
        <w:t xml:space="preserve">Responsibility</w:t>
      </w:r>
    </w:p>
    <w:p>
      <w:pPr>
        <w:spacing w:after="160"/>
      </w:pPr>
      <w:r>
        <w:t xml:space="preserve">Records two kinds of payment against the same shape of record: a borrower repaying their loan, and a guarantor paying down a liability assigned to them after a default. Loan Module listens to the resulting event either way and reacts accordingly.</w:t>
      </w:r>
    </w:p>
    <w:p>
      <w:pPr>
        <w:spacing w:after="60" w:before="120"/>
      </w:pPr>
      <w:r>
        <w:rPr>
          <w:b/>
          <w:bCs/>
          <w:color w:val="2F7D4F"/>
          <w:sz w:val="21"/>
          <w:szCs w:val="21"/>
        </w:rPr>
        <w:t xml:space="preserve">Owned Entities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AF6EE" w:val="clear"/>
            <w:tcMar>
              <w:top w:type="dxa" w:w="80"/>
              <w:left w:type="dxa" w:w="120"/>
              <w:bottom w:type="dxa" w:w="80"/>
              <w:right w:type="dxa" w:w="120"/>
            </w:tcMar>
            <w:vAlign w:val="top"/>
          </w:tcPr>
          <w:p>
            <w:pPr>
              <w:jc w:val="left"/>
            </w:pPr>
            <w:r>
              <w:rPr>
                <w:b/>
                <w:bCs/>
                <w:color w:val="1B4D2E"/>
                <w:sz w:val="19"/>
                <w:szCs w:val="19"/>
              </w:rPr>
              <w:t xml:space="preserve">Entity</w:t>
            </w:r>
          </w:p>
        </w:tc>
        <w:tc>
          <w:tcPr>
            <w:tcW w:type="dxa" w:w="6560"/>
            <w:tcBorders>
              <w:top w:val="single" w:color="CCCCCC" w:sz="1"/>
              <w:left w:val="single" w:color="CCCCCC" w:sz="1"/>
              <w:bottom w:val="single" w:color="CCCCCC" w:sz="1"/>
              <w:right w:val="single" w:color="CCCCCC" w:sz="1"/>
            </w:tcBorders>
            <w:shd w:fill="EAF6EE" w:val="clear"/>
            <w:tcMar>
              <w:top w:type="dxa" w:w="80"/>
              <w:left w:type="dxa" w:w="120"/>
              <w:bottom w:type="dxa" w:w="80"/>
              <w:right w:type="dxa" w:w="120"/>
            </w:tcMar>
            <w:vAlign w:val="top"/>
          </w:tcPr>
          <w:p>
            <w:pPr>
              <w:jc w:val="left"/>
            </w:pPr>
            <w:r>
              <w:rPr>
                <w:b/>
                <w:bCs/>
                <w:color w:val="1B4D2E"/>
                <w:sz w:val="19"/>
                <w:szCs w:val="19"/>
              </w:rPr>
              <w:t xml:space="preserve">Fields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1A1A1A"/>
                <w:sz w:val="19"/>
                <w:szCs w:val="19"/>
              </w:rPr>
              <w:t xml:space="preserve">Repayment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1A1A1A"/>
                <w:sz w:val="19"/>
                <w:szCs w:val="19"/>
              </w:rPr>
              <w:t xml:space="preserve">id (PK), loanId (FK), payerMemberId (FK), liabilityId (FK, nullable — set only for a guarantor liability payment), amount, paymentDate, reference</w:t>
            </w:r>
          </w:p>
        </w:tc>
      </w:tr>
    </w:tbl>
    <w:p>
      <w:pPr>
        <w:spacing w:after="160"/>
      </w:pPr>
    </w:p>
    <w:p>
      <w:pPr>
        <w:spacing w:after="60" w:before="120"/>
      </w:pPr>
      <w:r>
        <w:rPr>
          <w:b/>
          <w:bCs/>
          <w:color w:val="2F7D4F"/>
          <w:sz w:val="21"/>
          <w:szCs w:val="21"/>
        </w:rPr>
        <w:t xml:space="preserve">Business Rules</w:t>
      </w:r>
    </w:p>
    <w:p>
      <w:pPr>
        <w:pStyle w:val="ListParagraph"/>
        <w:numPr>
          <w:ilvl w:val="0"/>
          <w:numId w:val="2"/>
        </w:numPr>
        <w:spacing w:after="40"/>
      </w:pPr>
      <w:r>
        <w:rPr>
          <w:sz w:val="21"/>
          <w:szCs w:val="21"/>
        </w:rPr>
        <w:t xml:space="preserve">If liabilityId is null: the loan must be ACTIVE, payerMemberId must be the borrower.</w:t>
      </w:r>
    </w:p>
    <w:p>
      <w:pPr>
        <w:pStyle w:val="ListParagraph"/>
        <w:numPr>
          <w:ilvl w:val="0"/>
          <w:numId w:val="2"/>
        </w:numPr>
        <w:spacing w:after="40"/>
      </w:pPr>
      <w:r>
        <w:rPr>
          <w:sz w:val="21"/>
          <w:szCs w:val="21"/>
        </w:rPr>
        <w:t xml:space="preserve">If liabilityId is set: the referenced GuarantorLiability must be PENDING, payerMemberId must match its guarantorMemberId.</w:t>
      </w:r>
    </w:p>
    <w:p>
      <w:pPr>
        <w:pStyle w:val="ListParagraph"/>
        <w:numPr>
          <w:ilvl w:val="0"/>
          <w:numId w:val="2"/>
        </w:numPr>
        <w:spacing w:after="40"/>
      </w:pPr>
      <w:r>
        <w:rPr>
          <w:sz w:val="21"/>
          <w:szCs w:val="21"/>
        </w:rPr>
        <w:t xml:space="preserve">Amount must be positive.</w:t>
      </w:r>
    </w:p>
    <w:p>
      <w:pPr>
        <w:spacing w:after="60" w:before="120"/>
      </w:pPr>
      <w:r>
        <w:rPr>
          <w:b/>
          <w:bCs/>
          <w:color w:val="2F7D4F"/>
          <w:sz w:val="21"/>
          <w:szCs w:val="21"/>
        </w:rPr>
        <w:t xml:space="preserve">Domain Events Published</w:t>
      </w:r>
    </w:p>
    <w:p>
      <w:pPr>
        <w:pStyle w:val="ListParagraph"/>
        <w:numPr>
          <w:ilvl w:val="0"/>
          <w:numId w:val="2"/>
        </w:numPr>
        <w:spacing w:after="40"/>
      </w:pPr>
      <w:r>
        <w:rPr>
          <w:sz w:val="21"/>
          <w:szCs w:val="21"/>
        </w:rPr>
        <w:t xml:space="preserve">RepaymentMadeEvent — published either way; Accounting and Loan Module branch on whether liabilityId is set.</w:t>
      </w:r>
    </w:p>
    <w:p>
      <w:pPr>
        <w:spacing w:after="60" w:before="120"/>
      </w:pPr>
      <w:r>
        <w:rPr>
          <w:b/>
          <w:bCs/>
          <w:color w:val="2F7D4F"/>
          <w:sz w:val="21"/>
          <w:szCs w:val="21"/>
        </w:rPr>
        <w:t xml:space="preserve">Key Endpoints</w:t>
      </w:r>
    </w:p>
    <w:p>
      <w:pPr>
        <w:pStyle w:val="ListParagraph"/>
        <w:numPr>
          <w:ilvl w:val="0"/>
          <w:numId w:val="2"/>
        </w:numPr>
        <w:spacing w:after="40"/>
      </w:pPr>
      <w:r>
        <w:rPr>
          <w:sz w:val="21"/>
          <w:szCs w:val="21"/>
        </w:rPr>
        <w:t xml:space="preserve">POST /api/repayments — record a borrower repayment</w:t>
      </w:r>
    </w:p>
    <w:p>
      <w:pPr>
        <w:pStyle w:val="ListParagraph"/>
        <w:numPr>
          <w:ilvl w:val="0"/>
          <w:numId w:val="2"/>
        </w:numPr>
        <w:spacing w:after="40"/>
      </w:pPr>
      <w:r>
        <w:rPr>
          <w:sz w:val="21"/>
          <w:szCs w:val="21"/>
        </w:rPr>
        <w:t xml:space="preserve">POST /api/repayments/liability — record a guarantor liability repayment</w:t>
      </w:r>
    </w:p>
    <w:p>
      <w:pPr>
        <w:pStyle w:val="ListParagraph"/>
        <w:numPr>
          <w:ilvl w:val="0"/>
          <w:numId w:val="2"/>
        </w:numPr>
        <w:spacing w:after="40"/>
      </w:pPr>
      <w:r>
        <w:rPr>
          <w:sz w:val="21"/>
          <w:szCs w:val="21"/>
        </w:rPr>
        <w:t xml:space="preserve">GET /api/repayments/loan/{loanId} — repayment history for a loan</w:t>
      </w:r>
    </w:p>
    <w:p>
      <w:pPr>
        <w:spacing w:after="60" w:before="120"/>
      </w:pPr>
      <w:r>
        <w:rPr>
          <w:b/>
          <w:bCs/>
          <w:color w:val="2F7D4F"/>
          <w:sz w:val="21"/>
          <w:szCs w:val="21"/>
        </w:rPr>
        <w:t xml:space="preserve">Dependencies</w:t>
      </w:r>
    </w:p>
    <w:p>
      <w:pPr>
        <w:spacing w:after="160"/>
      </w:pPr>
      <w:r>
        <w:t xml:space="preserve">Loan Module (validates the loan/liability exists and is in a payable state).</w:t>
      </w:r>
    </w:p>
    <w:p>
      <w:pPr>
        <w:pBdr>
          <w:bottom w:val="single" w:color="D8D5C8" w:sz="6" w:space="4"/>
        </w:pBdr>
        <w:spacing w:after="280" w:before="100"/>
      </w:pPr>
    </w:p>
    <w:p>
      <w:pPr>
        <w:pStyle w:val="Heading2"/>
      </w:pPr>
      <w:r>
        <w:rPr>
          <w:color w:val="5B3AA0"/>
        </w:rPr>
        <w:t xml:space="preserve">Accounting Module (Ledger)</w:t>
      </w:r>
    </w:p>
    <w:p>
      <w:pPr>
        <w:spacing w:after="60" w:before="120"/>
      </w:pPr>
      <w:r>
        <w:rPr>
          <w:b/>
          <w:bCs/>
          <w:color w:val="2F7D4F"/>
          <w:sz w:val="21"/>
          <w:szCs w:val="21"/>
        </w:rPr>
        <w:t xml:space="preserve">Responsibility</w:t>
      </w:r>
    </w:p>
    <w:p>
      <w:pPr>
        <w:spacing w:after="160"/>
      </w:pPr>
      <w:r>
        <w:t xml:space="preserve">The single source of truth for every financial balance in the system. It never originates a transaction on its own — it reacts to domain events from Contribution, Loan, and Repayment and converts each one into a balanced double-entry journal entry.</w:t>
      </w:r>
    </w:p>
    <w:p>
      <w:pPr>
        <w:spacing w:after="60" w:before="120"/>
      </w:pPr>
      <w:r>
        <w:rPr>
          <w:b/>
          <w:bCs/>
          <w:color w:val="2F7D4F"/>
          <w:sz w:val="21"/>
          <w:szCs w:val="21"/>
        </w:rPr>
        <w:t xml:space="preserve">Owned Entities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AF6EE" w:val="clear"/>
            <w:tcMar>
              <w:top w:type="dxa" w:w="80"/>
              <w:left w:type="dxa" w:w="120"/>
              <w:bottom w:type="dxa" w:w="80"/>
              <w:right w:type="dxa" w:w="120"/>
            </w:tcMar>
            <w:vAlign w:val="top"/>
          </w:tcPr>
          <w:p>
            <w:pPr>
              <w:jc w:val="left"/>
            </w:pPr>
            <w:r>
              <w:rPr>
                <w:b/>
                <w:bCs/>
                <w:color w:val="1B4D2E"/>
                <w:sz w:val="19"/>
                <w:szCs w:val="19"/>
              </w:rPr>
              <w:t xml:space="preserve">Entity</w:t>
            </w:r>
          </w:p>
        </w:tc>
        <w:tc>
          <w:tcPr>
            <w:tcW w:type="dxa" w:w="6560"/>
            <w:tcBorders>
              <w:top w:val="single" w:color="CCCCCC" w:sz="1"/>
              <w:left w:val="single" w:color="CCCCCC" w:sz="1"/>
              <w:bottom w:val="single" w:color="CCCCCC" w:sz="1"/>
              <w:right w:val="single" w:color="CCCCCC" w:sz="1"/>
            </w:tcBorders>
            <w:shd w:fill="EAF6EE" w:val="clear"/>
            <w:tcMar>
              <w:top w:type="dxa" w:w="80"/>
              <w:left w:type="dxa" w:w="120"/>
              <w:bottom w:type="dxa" w:w="80"/>
              <w:right w:type="dxa" w:w="120"/>
            </w:tcMar>
            <w:vAlign w:val="top"/>
          </w:tcPr>
          <w:p>
            <w:pPr>
              <w:jc w:val="left"/>
            </w:pPr>
            <w:r>
              <w:rPr>
                <w:b/>
                <w:bCs/>
                <w:color w:val="1B4D2E"/>
                <w:sz w:val="19"/>
                <w:szCs w:val="19"/>
              </w:rPr>
              <w:t xml:space="preserve">Fields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1A1A1A"/>
                <w:sz w:val="19"/>
                <w:szCs w:val="19"/>
              </w:rPr>
              <w:t xml:space="preserve">LedgerAccount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1A1A1A"/>
                <w:sz w:val="19"/>
                <w:szCs w:val="19"/>
              </w:rPr>
              <w:t xml:space="preserve">id (PK), name, accountType, normalBalance — chart of accounts now includes Penalty Income and Guarantor Receivable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1A1A1A"/>
                <w:sz w:val="19"/>
                <w:szCs w:val="19"/>
              </w:rPr>
              <w:t xml:space="preserve">LedgerEntry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1A1A1A"/>
                <w:sz w:val="19"/>
                <w:szCs w:val="19"/>
              </w:rPr>
              <w:t xml:space="preserve">id (PK), accountId (FK), amount, entryType (DEBIT/CREDIT), transactionRef, entryDate, createdBy</w:t>
            </w:r>
          </w:p>
        </w:tc>
      </w:tr>
    </w:tbl>
    <w:p>
      <w:pPr>
        <w:spacing w:after="160"/>
      </w:pPr>
    </w:p>
    <w:p>
      <w:pPr>
        <w:spacing w:after="60" w:before="120"/>
      </w:pPr>
      <w:r>
        <w:rPr>
          <w:b/>
          <w:bCs/>
          <w:color w:val="2F7D4F"/>
          <w:sz w:val="21"/>
          <w:szCs w:val="21"/>
        </w:rPr>
        <w:t xml:space="preserve">Business Rules</w:t>
      </w:r>
    </w:p>
    <w:p>
      <w:pPr>
        <w:pStyle w:val="ListParagraph"/>
        <w:numPr>
          <w:ilvl w:val="0"/>
          <w:numId w:val="2"/>
        </w:numPr>
        <w:spacing w:after="40"/>
      </w:pPr>
      <w:r>
        <w:rPr>
          <w:sz w:val="21"/>
          <w:szCs w:val="21"/>
        </w:rPr>
        <w:t xml:space="preserve">Every transaction produces at least one debit and one credit that balance to zero.</w:t>
      </w:r>
    </w:p>
    <w:p>
      <w:pPr>
        <w:pStyle w:val="ListParagraph"/>
        <w:numPr>
          <w:ilvl w:val="0"/>
          <w:numId w:val="2"/>
        </w:numPr>
        <w:spacing w:after="40"/>
      </w:pPr>
      <w:r>
        <w:rPr>
          <w:sz w:val="21"/>
          <w:szCs w:val="21"/>
        </w:rPr>
        <w:t xml:space="preserve">Only this module is permitted to write LedgerEntry rows.</w:t>
      </w:r>
    </w:p>
    <w:p>
      <w:pPr>
        <w:pStyle w:val="ListParagraph"/>
        <w:numPr>
          <w:ilvl w:val="0"/>
          <w:numId w:val="2"/>
        </w:numPr>
        <w:spacing w:after="40"/>
      </w:pPr>
      <w:r>
        <w:rPr>
          <w:sz w:val="21"/>
          <w:szCs w:val="21"/>
        </w:rPr>
        <w:t xml:space="preserve">All postings happen via @TransactionalEventListener(phase = AFTER_COMMIT), backed by the transactional outbox so a crash between commit and dispatch can't silently lose a posting.</w:t>
      </w:r>
    </w:p>
    <w:p>
      <w:pPr>
        <w:spacing w:after="60" w:before="120"/>
      </w:pPr>
      <w:r>
        <w:rPr>
          <w:b/>
          <w:bCs/>
          <w:color w:val="2F7D4F"/>
          <w:sz w:val="21"/>
          <w:szCs w:val="21"/>
        </w:rPr>
        <w:t xml:space="preserve">Domain Events Consumed</w:t>
      </w:r>
    </w:p>
    <w:p>
      <w:pPr>
        <w:pStyle w:val="ListParagraph"/>
        <w:numPr>
          <w:ilvl w:val="0"/>
          <w:numId w:val="2"/>
        </w:numPr>
        <w:spacing w:after="40"/>
      </w:pPr>
      <w:r>
        <w:rPr>
          <w:sz w:val="21"/>
          <w:szCs w:val="21"/>
        </w:rPr>
        <w:t xml:space="preserve">ContributionMadeEvent → debit Cash/Bank, credit Cooperative Fund Equity.</w:t>
      </w:r>
    </w:p>
    <w:p>
      <w:pPr>
        <w:pStyle w:val="ListParagraph"/>
        <w:numPr>
          <w:ilvl w:val="0"/>
          <w:numId w:val="2"/>
        </w:numPr>
        <w:spacing w:after="40"/>
      </w:pPr>
      <w:r>
        <w:rPr>
          <w:sz w:val="21"/>
          <w:szCs w:val="21"/>
        </w:rPr>
        <w:t xml:space="preserve">LoanApprovedEvent → debit Loans Receivable, credit Cash/Bank.</w:t>
      </w:r>
    </w:p>
    <w:p>
      <w:pPr>
        <w:pStyle w:val="ListParagraph"/>
        <w:numPr>
          <w:ilvl w:val="0"/>
          <w:numId w:val="2"/>
        </w:numPr>
        <w:spacing w:after="40"/>
      </w:pPr>
      <w:r>
        <w:rPr>
          <w:sz w:val="21"/>
          <w:szCs w:val="21"/>
        </w:rPr>
        <w:t xml:space="preserve">RepaymentMadeEvent (liabilityId null) → debit Cash/Bank, credit Loans Receivable.</w:t>
      </w:r>
    </w:p>
    <w:p>
      <w:pPr>
        <w:pStyle w:val="ListParagraph"/>
        <w:numPr>
          <w:ilvl w:val="0"/>
          <w:numId w:val="2"/>
        </w:numPr>
        <w:spacing w:after="40"/>
      </w:pPr>
      <w:r>
        <w:rPr>
          <w:sz w:val="21"/>
          <w:szCs w:val="21"/>
        </w:rPr>
        <w:t xml:space="preserve">RepaymentMadeEvent (liabilityId set) → debit Cash/Bank, credit Guarantor Receivable.</w:t>
      </w:r>
    </w:p>
    <w:p>
      <w:pPr>
        <w:pStyle w:val="ListParagraph"/>
        <w:numPr>
          <w:ilvl w:val="0"/>
          <w:numId w:val="2"/>
        </w:numPr>
        <w:spacing w:after="40"/>
      </w:pPr>
      <w:r>
        <w:rPr>
          <w:sz w:val="21"/>
          <w:szCs w:val="21"/>
        </w:rPr>
        <w:t xml:space="preserve">LoanDefaultedEvent → per guarantor: debit Guarantor Receivable, credit Loans Receivable; plus debit Penalty Receivable, credit Penalty Income for the borrower's penalty.</w:t>
      </w:r>
    </w:p>
    <w:p>
      <w:pPr>
        <w:spacing w:after="60" w:before="120"/>
      </w:pPr>
      <w:r>
        <w:rPr>
          <w:b/>
          <w:bCs/>
          <w:color w:val="2F7D4F"/>
          <w:sz w:val="21"/>
          <w:szCs w:val="21"/>
        </w:rPr>
        <w:t xml:space="preserve">Key Endpoints</w:t>
      </w:r>
    </w:p>
    <w:p>
      <w:pPr>
        <w:pStyle w:val="ListParagraph"/>
        <w:numPr>
          <w:ilvl w:val="0"/>
          <w:numId w:val="2"/>
        </w:numPr>
        <w:spacing w:after="40"/>
      </w:pPr>
      <w:r>
        <w:rPr>
          <w:sz w:val="21"/>
          <w:szCs w:val="21"/>
        </w:rPr>
        <w:t xml:space="preserve">GET /api/ledger/accounts/{id}/balance — current balance for an account</w:t>
      </w:r>
    </w:p>
    <w:p>
      <w:pPr>
        <w:pStyle w:val="ListParagraph"/>
        <w:numPr>
          <w:ilvl w:val="0"/>
          <w:numId w:val="2"/>
        </w:numPr>
        <w:spacing w:after="40"/>
      </w:pPr>
      <w:r>
        <w:rPr>
          <w:sz w:val="21"/>
          <w:szCs w:val="21"/>
        </w:rPr>
        <w:t xml:space="preserve">GET /api/ledger/trial-balance — full trial balance</w:t>
      </w:r>
    </w:p>
    <w:p>
      <w:pPr>
        <w:spacing w:after="60" w:before="120"/>
      </w:pPr>
      <w:r>
        <w:rPr>
          <w:b/>
          <w:bCs/>
          <w:color w:val="2F7D4F"/>
          <w:sz w:val="21"/>
          <w:szCs w:val="21"/>
        </w:rPr>
        <w:t xml:space="preserve">Dependencies</w:t>
      </w:r>
    </w:p>
    <w:p>
      <w:pPr>
        <w:spacing w:after="160"/>
      </w:pPr>
      <w:r>
        <w:t xml:space="preserve">Listens to events from Contribution, Loan, and Repayment modules; does not call them directly.</w:t>
      </w:r>
    </w:p>
    <w:p>
      <w:pPr>
        <w:pBdr>
          <w:bottom w:val="single" w:color="D8D5C8" w:sz="6" w:space="4"/>
        </w:pBdr>
        <w:spacing w:after="280" w:before="100"/>
      </w:pPr>
    </w:p>
    <w:p>
      <w:pPr>
        <w:pStyle w:val="Heading2"/>
      </w:pPr>
      <w:r>
        <w:rPr>
          <w:color w:val="1565C0"/>
        </w:rPr>
        <w:t xml:space="preserve">Reporting Module</w:t>
      </w:r>
    </w:p>
    <w:p>
      <w:pPr>
        <w:spacing w:after="60" w:before="120"/>
      </w:pPr>
      <w:r>
        <w:rPr>
          <w:b/>
          <w:bCs/>
          <w:color w:val="2F7D4F"/>
          <w:sz w:val="21"/>
          <w:szCs w:val="21"/>
        </w:rPr>
        <w:t xml:space="preserve">Responsibility</w:t>
      </w:r>
    </w:p>
    <w:p>
      <w:pPr>
        <w:spacing w:after="160"/>
      </w:pPr>
      <w:r>
        <w:t xml:space="preserve">A read-only projection layer (CQRS-lite). It owns no business logic and never writes operational data — it listens to the same domain events as Accounting and maintains denormalized tables shaped for fast dashboard queries, and pushes updates to connected dashboards over Server-Sent Events.</w:t>
      </w:r>
    </w:p>
    <w:p>
      <w:pPr>
        <w:spacing w:after="60" w:before="120"/>
      </w:pPr>
      <w:r>
        <w:rPr>
          <w:b/>
          <w:bCs/>
          <w:color w:val="2F7D4F"/>
          <w:sz w:val="21"/>
          <w:szCs w:val="21"/>
        </w:rPr>
        <w:t xml:space="preserve">Owned Entities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AF6EE" w:val="clear"/>
            <w:tcMar>
              <w:top w:type="dxa" w:w="80"/>
              <w:left w:type="dxa" w:w="120"/>
              <w:bottom w:type="dxa" w:w="80"/>
              <w:right w:type="dxa" w:w="120"/>
            </w:tcMar>
            <w:vAlign w:val="top"/>
          </w:tcPr>
          <w:p>
            <w:pPr>
              <w:jc w:val="left"/>
            </w:pPr>
            <w:r>
              <w:rPr>
                <w:b/>
                <w:bCs/>
                <w:color w:val="1B4D2E"/>
                <w:sz w:val="19"/>
                <w:szCs w:val="19"/>
              </w:rPr>
              <w:t xml:space="preserve">Entity</w:t>
            </w:r>
          </w:p>
        </w:tc>
        <w:tc>
          <w:tcPr>
            <w:tcW w:type="dxa" w:w="6560"/>
            <w:tcBorders>
              <w:top w:val="single" w:color="CCCCCC" w:sz="1"/>
              <w:left w:val="single" w:color="CCCCCC" w:sz="1"/>
              <w:bottom w:val="single" w:color="CCCCCC" w:sz="1"/>
              <w:right w:val="single" w:color="CCCCCC" w:sz="1"/>
            </w:tcBorders>
            <w:shd w:fill="EAF6EE" w:val="clear"/>
            <w:tcMar>
              <w:top w:type="dxa" w:w="80"/>
              <w:left w:type="dxa" w:w="120"/>
              <w:bottom w:type="dxa" w:w="80"/>
              <w:right w:type="dxa" w:w="120"/>
            </w:tcMar>
            <w:vAlign w:val="top"/>
          </w:tcPr>
          <w:p>
            <w:pPr>
              <w:jc w:val="left"/>
            </w:pPr>
            <w:r>
              <w:rPr>
                <w:b/>
                <w:bCs/>
                <w:color w:val="1B4D2E"/>
                <w:sz w:val="19"/>
                <w:szCs w:val="19"/>
              </w:rPr>
              <w:t xml:space="preserve">Fields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1A1A1A"/>
                <w:sz w:val="19"/>
                <w:szCs w:val="19"/>
              </w:rPr>
              <w:t xml:space="preserve">reporting_member_summary / reporting_loan_summary (projection tables)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1A1A1A"/>
                <w:sz w:val="19"/>
                <w:szCs w:val="19"/>
              </w:rPr>
              <w:t xml:space="preserve">denormalized, rebuilt from events — not a source of truth</w:t>
            </w:r>
          </w:p>
        </w:tc>
      </w:tr>
    </w:tbl>
    <w:p>
      <w:pPr>
        <w:spacing w:after="160"/>
      </w:pPr>
    </w:p>
    <w:p>
      <w:pPr>
        <w:spacing w:after="60" w:before="120"/>
      </w:pPr>
      <w:r>
        <w:rPr>
          <w:b/>
          <w:bCs/>
          <w:color w:val="2F7D4F"/>
          <w:sz w:val="21"/>
          <w:szCs w:val="21"/>
        </w:rPr>
        <w:t xml:space="preserve">Business Rules</w:t>
      </w:r>
    </w:p>
    <w:p>
      <w:pPr>
        <w:pStyle w:val="ListParagraph"/>
        <w:numPr>
          <w:ilvl w:val="0"/>
          <w:numId w:val="2"/>
        </w:numPr>
        <w:spacing w:after="40"/>
      </w:pPr>
      <w:r>
        <w:rPr>
          <w:sz w:val="21"/>
          <w:szCs w:val="21"/>
        </w:rPr>
        <w:t xml:space="preserve">Never exposes a write endpoint.</w:t>
      </w:r>
    </w:p>
    <w:p>
      <w:pPr>
        <w:pStyle w:val="ListParagraph"/>
        <w:numPr>
          <w:ilvl w:val="0"/>
          <w:numId w:val="2"/>
        </w:numPr>
        <w:spacing w:after="40"/>
      </w:pPr>
      <w:r>
        <w:rPr>
          <w:sz w:val="21"/>
          <w:szCs w:val="21"/>
        </w:rPr>
        <w:t xml:space="preserve">Updates only happen via @TransactionalEventListener(phase = AFTER_COMMIT).</w:t>
      </w:r>
    </w:p>
    <w:p>
      <w:pPr>
        <w:pStyle w:val="ListParagraph"/>
        <w:numPr>
          <w:ilvl w:val="0"/>
          <w:numId w:val="2"/>
        </w:numPr>
        <w:spacing w:after="40"/>
      </w:pPr>
      <w:r>
        <w:rPr>
          <w:sz w:val="21"/>
          <w:szCs w:val="21"/>
        </w:rPr>
        <w:t xml:space="preserve">Each projection update also publishes over the open SSE stream so connected dashboards update live without polling.</w:t>
      </w:r>
    </w:p>
    <w:p>
      <w:pPr>
        <w:spacing w:after="60" w:before="120"/>
      </w:pPr>
      <w:r>
        <w:rPr>
          <w:b/>
          <w:bCs/>
          <w:color w:val="2F7D4F"/>
          <w:sz w:val="21"/>
          <w:szCs w:val="21"/>
        </w:rPr>
        <w:t xml:space="preserve">Domain Events Consumed</w:t>
      </w:r>
    </w:p>
    <w:p>
      <w:pPr>
        <w:pStyle w:val="ListParagraph"/>
        <w:numPr>
          <w:ilvl w:val="0"/>
          <w:numId w:val="2"/>
        </w:numPr>
        <w:spacing w:after="40"/>
      </w:pPr>
      <w:r>
        <w:rPr>
          <w:sz w:val="21"/>
          <w:szCs w:val="21"/>
        </w:rPr>
        <w:t xml:space="preserve">ContributionMadeEvent</w:t>
      </w:r>
    </w:p>
    <w:p>
      <w:pPr>
        <w:pStyle w:val="ListParagraph"/>
        <w:numPr>
          <w:ilvl w:val="0"/>
          <w:numId w:val="2"/>
        </w:numPr>
        <w:spacing w:after="40"/>
      </w:pPr>
      <w:r>
        <w:rPr>
          <w:sz w:val="21"/>
          <w:szCs w:val="21"/>
        </w:rPr>
        <w:t xml:space="preserve">LoanApprovedEvent</w:t>
      </w:r>
    </w:p>
    <w:p>
      <w:pPr>
        <w:pStyle w:val="ListParagraph"/>
        <w:numPr>
          <w:ilvl w:val="0"/>
          <w:numId w:val="2"/>
        </w:numPr>
        <w:spacing w:after="40"/>
      </w:pPr>
      <w:r>
        <w:rPr>
          <w:sz w:val="21"/>
          <w:szCs w:val="21"/>
        </w:rPr>
        <w:t xml:space="preserve">RepaymentMadeEvent</w:t>
      </w:r>
    </w:p>
    <w:p>
      <w:pPr>
        <w:pStyle w:val="ListParagraph"/>
        <w:numPr>
          <w:ilvl w:val="0"/>
          <w:numId w:val="2"/>
        </w:numPr>
        <w:spacing w:after="40"/>
      </w:pPr>
      <w:r>
        <w:rPr>
          <w:sz w:val="21"/>
          <w:szCs w:val="21"/>
        </w:rPr>
        <w:t xml:space="preserve">LoanDefaultedEvent</w:t>
      </w:r>
    </w:p>
    <w:p>
      <w:pPr>
        <w:spacing w:after="60" w:before="120"/>
      </w:pPr>
      <w:r>
        <w:rPr>
          <w:b/>
          <w:bCs/>
          <w:color w:val="2F7D4F"/>
          <w:sz w:val="21"/>
          <w:szCs w:val="21"/>
        </w:rPr>
        <w:t xml:space="preserve">Key Endpoints</w:t>
      </w:r>
    </w:p>
    <w:p>
      <w:pPr>
        <w:pStyle w:val="ListParagraph"/>
        <w:numPr>
          <w:ilvl w:val="0"/>
          <w:numId w:val="2"/>
        </w:numPr>
        <w:spacing w:after="40"/>
      </w:pPr>
      <w:r>
        <w:rPr>
          <w:sz w:val="21"/>
          <w:szCs w:val="21"/>
        </w:rPr>
        <w:t xml:space="preserve">GET /api/reports/dashboard — active loans, total contributions, outstanding balance, default rate</w:t>
      </w:r>
    </w:p>
    <w:p>
      <w:pPr>
        <w:pStyle w:val="ListParagraph"/>
        <w:numPr>
          <w:ilvl w:val="0"/>
          <w:numId w:val="2"/>
        </w:numPr>
        <w:spacing w:after="40"/>
      </w:pPr>
      <w:r>
        <w:rPr>
          <w:sz w:val="21"/>
          <w:szCs w:val="21"/>
        </w:rPr>
        <w:t xml:space="preserve">GET /api/reports/members/{id}/summary — a member's contribution &amp; loan summary</w:t>
      </w:r>
    </w:p>
    <w:p>
      <w:pPr>
        <w:pStyle w:val="ListParagraph"/>
        <w:numPr>
          <w:ilvl w:val="0"/>
          <w:numId w:val="2"/>
        </w:numPr>
        <w:spacing w:after="40"/>
      </w:pPr>
      <w:r>
        <w:rPr>
          <w:sz w:val="21"/>
          <w:szCs w:val="21"/>
        </w:rPr>
        <w:t xml:space="preserve">GET /api/reports/top-contributors — ranked contributors</w:t>
      </w:r>
    </w:p>
    <w:p>
      <w:pPr>
        <w:pStyle w:val="ListParagraph"/>
        <w:numPr>
          <w:ilvl w:val="0"/>
          <w:numId w:val="2"/>
        </w:numPr>
        <w:spacing w:after="40"/>
      </w:pPr>
      <w:r>
        <w:rPr>
          <w:sz w:val="21"/>
          <w:szCs w:val="21"/>
        </w:rPr>
        <w:t xml:space="preserve">GET /api/reports/stream — Server-Sent Events stream for live dashboard updates</w:t>
      </w:r>
    </w:p>
    <w:p>
      <w:pPr>
        <w:spacing w:after="60" w:before="120"/>
      </w:pPr>
      <w:r>
        <w:rPr>
          <w:b/>
          <w:bCs/>
          <w:color w:val="2F7D4F"/>
          <w:sz w:val="21"/>
          <w:szCs w:val="21"/>
        </w:rPr>
        <w:t xml:space="preserve">Dependencies</w:t>
      </w:r>
    </w:p>
    <w:p>
      <w:pPr>
        <w:spacing w:after="160"/>
      </w:pPr>
      <w:r>
        <w:t xml:space="preserve">Listens to events from Contribution, Loan, and Repayment modules; does not call them directly.</w:t>
      </w:r>
    </w:p>
    <w:p>
      <w:pPr>
        <w:pBdr>
          <w:bottom w:val="single" w:color="D8D5C8" w:sz="6" w:space="4"/>
        </w:pBdr>
        <w:spacing w:after="280" w:before="100"/>
      </w:pPr>
    </w:p>
    <w:p>
      <w:pPr>
        <w:pStyle w:val="Heading2"/>
      </w:pPr>
      <w:r>
        <w:rPr>
          <w:color w:val="B3326F"/>
        </w:rPr>
        <w:t xml:space="preserve">Notification Module</w:t>
      </w:r>
    </w:p>
    <w:p>
      <w:pPr>
        <w:spacing w:after="60" w:before="120"/>
      </w:pPr>
      <w:r>
        <w:rPr>
          <w:b/>
          <w:bCs/>
          <w:color w:val="2F7D4F"/>
          <w:sz w:val="21"/>
          <w:szCs w:val="21"/>
        </w:rPr>
        <w:t xml:space="preserve">Responsibility</w:t>
      </w:r>
    </w:p>
    <w:p>
      <w:pPr>
        <w:spacing w:after="160"/>
      </w:pPr>
      <w:r>
        <w:t xml:space="preserve">Listens to the same event bus as everything else and turns key events into member-facing emails, keeping its own log so “did this actually send” is auditable.</w:t>
      </w:r>
    </w:p>
    <w:p>
      <w:pPr>
        <w:spacing w:after="60" w:before="120"/>
      </w:pPr>
      <w:r>
        <w:rPr>
          <w:b/>
          <w:bCs/>
          <w:color w:val="2F7D4F"/>
          <w:sz w:val="21"/>
          <w:szCs w:val="21"/>
        </w:rPr>
        <w:t xml:space="preserve">Owned Entities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AF6EE" w:val="clear"/>
            <w:tcMar>
              <w:top w:type="dxa" w:w="80"/>
              <w:left w:type="dxa" w:w="120"/>
              <w:bottom w:type="dxa" w:w="80"/>
              <w:right w:type="dxa" w:w="120"/>
            </w:tcMar>
            <w:vAlign w:val="top"/>
          </w:tcPr>
          <w:p>
            <w:pPr>
              <w:jc w:val="left"/>
            </w:pPr>
            <w:r>
              <w:rPr>
                <w:b/>
                <w:bCs/>
                <w:color w:val="1B4D2E"/>
                <w:sz w:val="19"/>
                <w:szCs w:val="19"/>
              </w:rPr>
              <w:t xml:space="preserve">Entity</w:t>
            </w:r>
          </w:p>
        </w:tc>
        <w:tc>
          <w:tcPr>
            <w:tcW w:type="dxa" w:w="6560"/>
            <w:tcBorders>
              <w:top w:val="single" w:color="CCCCCC" w:sz="1"/>
              <w:left w:val="single" w:color="CCCCCC" w:sz="1"/>
              <w:bottom w:val="single" w:color="CCCCCC" w:sz="1"/>
              <w:right w:val="single" w:color="CCCCCC" w:sz="1"/>
            </w:tcBorders>
            <w:shd w:fill="EAF6EE" w:val="clear"/>
            <w:tcMar>
              <w:top w:type="dxa" w:w="80"/>
              <w:left w:type="dxa" w:w="120"/>
              <w:bottom w:type="dxa" w:w="80"/>
              <w:right w:type="dxa" w:w="120"/>
            </w:tcMar>
            <w:vAlign w:val="top"/>
          </w:tcPr>
          <w:p>
            <w:pPr>
              <w:jc w:val="left"/>
            </w:pPr>
            <w:r>
              <w:rPr>
                <w:b/>
                <w:bCs/>
                <w:color w:val="1B4D2E"/>
                <w:sz w:val="19"/>
                <w:szCs w:val="19"/>
              </w:rPr>
              <w:t xml:space="preserve">Fields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1A1A1A"/>
                <w:sz w:val="19"/>
                <w:szCs w:val="19"/>
              </w:rPr>
              <w:t xml:space="preserve">notification_log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1A1A1A"/>
                <w:sz w:val="19"/>
                <w:szCs w:val="19"/>
              </w:rPr>
              <w:t xml:space="preserve">id (PK), memberId (FK), eventType, channel (EMAIL), status (SENT/FAILED), sentAt</w:t>
            </w:r>
          </w:p>
        </w:tc>
      </w:tr>
    </w:tbl>
    <w:p>
      <w:pPr>
        <w:spacing w:after="160"/>
      </w:pPr>
    </w:p>
    <w:p>
      <w:pPr>
        <w:spacing w:after="60" w:before="120"/>
      </w:pPr>
      <w:r>
        <w:rPr>
          <w:b/>
          <w:bCs/>
          <w:color w:val="2F7D4F"/>
          <w:sz w:val="21"/>
          <w:szCs w:val="21"/>
        </w:rPr>
        <w:t xml:space="preserve">Business Rules</w:t>
      </w:r>
    </w:p>
    <w:p>
      <w:pPr>
        <w:pStyle w:val="ListParagraph"/>
        <w:numPr>
          <w:ilvl w:val="0"/>
          <w:numId w:val="2"/>
        </w:numPr>
        <w:spacing w:after="40"/>
      </w:pPr>
      <w:r>
        <w:rPr>
          <w:sz w:val="21"/>
          <w:szCs w:val="21"/>
        </w:rPr>
        <w:t xml:space="preserve">Sends are wrapped in retry with exponential backoff + jitter; a permanently failed send is logged, not silently dropped.</w:t>
      </w:r>
    </w:p>
    <w:p>
      <w:pPr>
        <w:pStyle w:val="ListParagraph"/>
        <w:numPr>
          <w:ilvl w:val="0"/>
          <w:numId w:val="2"/>
        </w:numPr>
        <w:spacing w:after="40"/>
      </w:pPr>
      <w:r>
        <w:rPr>
          <w:sz w:val="21"/>
          <w:szCs w:val="21"/>
        </w:rPr>
        <w:t xml:space="preserve">Sent through an EmailSender interface so the actual provider is swappable without touching any listener.</w:t>
      </w:r>
    </w:p>
    <w:p>
      <w:pPr>
        <w:spacing w:after="60" w:before="120"/>
      </w:pPr>
      <w:r>
        <w:rPr>
          <w:b/>
          <w:bCs/>
          <w:color w:val="2F7D4F"/>
          <w:sz w:val="21"/>
          <w:szCs w:val="21"/>
        </w:rPr>
        <w:t xml:space="preserve">Domain Events Consumed</w:t>
      </w:r>
    </w:p>
    <w:p>
      <w:pPr>
        <w:pStyle w:val="ListParagraph"/>
        <w:numPr>
          <w:ilvl w:val="0"/>
          <w:numId w:val="2"/>
        </w:numPr>
        <w:spacing w:after="40"/>
      </w:pPr>
      <w:r>
        <w:rPr>
          <w:sz w:val="21"/>
          <w:szCs w:val="21"/>
        </w:rPr>
        <w:t xml:space="preserve">LoanApprovedEvent</w:t>
      </w:r>
    </w:p>
    <w:p>
      <w:pPr>
        <w:pStyle w:val="ListParagraph"/>
        <w:numPr>
          <w:ilvl w:val="0"/>
          <w:numId w:val="2"/>
        </w:numPr>
        <w:spacing w:after="40"/>
      </w:pPr>
      <w:r>
        <w:rPr>
          <w:sz w:val="21"/>
          <w:szCs w:val="21"/>
        </w:rPr>
        <w:t xml:space="preserve">GuarantorInvitedEvent</w:t>
      </w:r>
    </w:p>
    <w:p>
      <w:pPr>
        <w:pStyle w:val="ListParagraph"/>
        <w:numPr>
          <w:ilvl w:val="0"/>
          <w:numId w:val="2"/>
        </w:numPr>
        <w:spacing w:after="40"/>
      </w:pPr>
      <w:r>
        <w:rPr>
          <w:sz w:val="21"/>
          <w:szCs w:val="21"/>
        </w:rPr>
        <w:t xml:space="preserve">RepaymentMadeEvent</w:t>
      </w:r>
    </w:p>
    <w:p>
      <w:pPr>
        <w:pStyle w:val="ListParagraph"/>
        <w:numPr>
          <w:ilvl w:val="0"/>
          <w:numId w:val="2"/>
        </w:numPr>
        <w:spacing w:after="40"/>
      </w:pPr>
      <w:r>
        <w:rPr>
          <w:sz w:val="21"/>
          <w:szCs w:val="21"/>
        </w:rPr>
        <w:t xml:space="preserve">LoanDefaultedEvent</w:t>
      </w:r>
    </w:p>
    <w:p>
      <w:pPr>
        <w:spacing w:after="60" w:before="120"/>
      </w:pPr>
      <w:r>
        <w:rPr>
          <w:b/>
          <w:bCs/>
          <w:color w:val="2F7D4F"/>
          <w:sz w:val="21"/>
          <w:szCs w:val="21"/>
        </w:rPr>
        <w:t xml:space="preserve">Key Endpoints</w:t>
      </w:r>
    </w:p>
    <w:p>
      <w:pPr>
        <w:pStyle w:val="ListParagraph"/>
        <w:numPr>
          <w:ilvl w:val="0"/>
          <w:numId w:val="2"/>
        </w:numPr>
        <w:spacing w:after="40"/>
      </w:pPr>
      <w:r>
        <w:rPr>
          <w:sz w:val="21"/>
          <w:szCs w:val="21"/>
        </w:rPr>
        <w:t xml:space="preserve">GET /api/notifications/member/{memberId} — a member's notification history</w:t>
      </w:r>
    </w:p>
    <w:p>
      <w:pPr>
        <w:spacing w:after="60" w:before="120"/>
      </w:pPr>
      <w:r>
        <w:rPr>
          <w:b/>
          <w:bCs/>
          <w:color w:val="2F7D4F"/>
          <w:sz w:val="21"/>
          <w:szCs w:val="21"/>
        </w:rPr>
        <w:t xml:space="preserve">Dependencies</w:t>
      </w:r>
    </w:p>
    <w:p>
      <w:pPr>
        <w:spacing w:after="160"/>
      </w:pPr>
      <w:r>
        <w:t xml:space="preserve">Listens to events from Loan, Repayment, and Guarantor activity; does not call other modules directly.</w:t>
      </w:r>
    </w:p>
    <w:p>
      <w:pPr>
        <w:pBdr>
          <w:bottom w:val="single" w:color="D8D5C8" w:sz="6" w:space="4"/>
        </w:pBdr>
        <w:spacing w:after="280" w:before="100"/>
      </w:pPr>
    </w:p>
    <w:p>
      <w:pPr>
        <w:pStyle w:val="Heading2"/>
      </w:pPr>
      <w:r>
        <w:rPr>
          <w:color w:val="C2542C"/>
        </w:rPr>
        <w:t xml:space="preserve">Payment Gateway Module</w:t>
      </w:r>
    </w:p>
    <w:p>
      <w:pPr>
        <w:spacing w:after="60" w:before="120"/>
      </w:pPr>
      <w:r>
        <w:rPr>
          <w:b/>
          <w:bCs/>
          <w:color w:val="2F7D4F"/>
          <w:sz w:val="21"/>
          <w:szCs w:val="21"/>
        </w:rPr>
        <w:t xml:space="preserve">Responsibility</w:t>
      </w:r>
    </w:p>
    <w:p>
      <w:pPr>
        <w:spacing w:after="160"/>
      </w:pPr>
      <w:r>
        <w:t xml:space="preserve">The intake point for contributions made via Paystack instead of manual officer entry. It verifies, deduplicates, and reconciles, then publishes the exact same ContributionMadeEvent a manual entry would — Accounting and Reporting never know the difference.</w:t>
      </w:r>
    </w:p>
    <w:p>
      <w:pPr>
        <w:spacing w:after="60" w:before="120"/>
      </w:pPr>
      <w:r>
        <w:rPr>
          <w:b/>
          <w:bCs/>
          <w:color w:val="2F7D4F"/>
          <w:sz w:val="21"/>
          <w:szCs w:val="21"/>
        </w:rPr>
        <w:t xml:space="preserve">Owned Entities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AF6EE" w:val="clear"/>
            <w:tcMar>
              <w:top w:type="dxa" w:w="80"/>
              <w:left w:type="dxa" w:w="120"/>
              <w:bottom w:type="dxa" w:w="80"/>
              <w:right w:type="dxa" w:w="120"/>
            </w:tcMar>
            <w:vAlign w:val="top"/>
          </w:tcPr>
          <w:p>
            <w:pPr>
              <w:jc w:val="left"/>
            </w:pPr>
            <w:r>
              <w:rPr>
                <w:b/>
                <w:bCs/>
                <w:color w:val="1B4D2E"/>
                <w:sz w:val="19"/>
                <w:szCs w:val="19"/>
              </w:rPr>
              <w:t xml:space="preserve">Entity</w:t>
            </w:r>
          </w:p>
        </w:tc>
        <w:tc>
          <w:tcPr>
            <w:tcW w:type="dxa" w:w="6560"/>
            <w:tcBorders>
              <w:top w:val="single" w:color="CCCCCC" w:sz="1"/>
              <w:left w:val="single" w:color="CCCCCC" w:sz="1"/>
              <w:bottom w:val="single" w:color="CCCCCC" w:sz="1"/>
              <w:right w:val="single" w:color="CCCCCC" w:sz="1"/>
            </w:tcBorders>
            <w:shd w:fill="EAF6EE" w:val="clear"/>
            <w:tcMar>
              <w:top w:type="dxa" w:w="80"/>
              <w:left w:type="dxa" w:w="120"/>
              <w:bottom w:type="dxa" w:w="80"/>
              <w:right w:type="dxa" w:w="120"/>
            </w:tcMar>
            <w:vAlign w:val="top"/>
          </w:tcPr>
          <w:p>
            <w:pPr>
              <w:jc w:val="left"/>
            </w:pPr>
            <w:r>
              <w:rPr>
                <w:b/>
                <w:bCs/>
                <w:color w:val="1B4D2E"/>
                <w:sz w:val="19"/>
                <w:szCs w:val="19"/>
              </w:rPr>
              <w:t xml:space="preserve">Fields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1A1A1A"/>
                <w:sz w:val="19"/>
                <w:szCs w:val="19"/>
              </w:rPr>
              <w:t xml:space="preserve">paystack_transaction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1A1A1A"/>
                <w:sz w:val="19"/>
                <w:szCs w:val="19"/>
              </w:rPr>
              <w:t xml:space="preserve">id (PK), paystackReference (unique), status, amount, memberId (FK), processedAt — dedup table, since Paystack retries webhooks</w:t>
            </w:r>
          </w:p>
        </w:tc>
      </w:tr>
    </w:tbl>
    <w:p>
      <w:pPr>
        <w:spacing w:after="160"/>
      </w:pPr>
    </w:p>
    <w:p>
      <w:pPr>
        <w:spacing w:after="60" w:before="120"/>
      </w:pPr>
      <w:r>
        <w:rPr>
          <w:b/>
          <w:bCs/>
          <w:color w:val="2F7D4F"/>
          <w:sz w:val="21"/>
          <w:szCs w:val="21"/>
        </w:rPr>
        <w:t xml:space="preserve">Business Rules</w:t>
      </w:r>
    </w:p>
    <w:p>
      <w:pPr>
        <w:pStyle w:val="ListParagraph"/>
        <w:numPr>
          <w:ilvl w:val="0"/>
          <w:numId w:val="2"/>
        </w:numPr>
        <w:spacing w:after="40"/>
      </w:pPr>
      <w:r>
        <w:rPr>
          <w:sz w:val="21"/>
          <w:szCs w:val="21"/>
        </w:rPr>
        <w:t xml:space="preserve">Every webhook call is signature-verified before being trusted.</w:t>
      </w:r>
    </w:p>
    <w:p>
      <w:pPr>
        <w:pStyle w:val="ListParagraph"/>
        <w:numPr>
          <w:ilvl w:val="0"/>
          <w:numId w:val="2"/>
        </w:numPr>
        <w:spacing w:after="40"/>
      </w:pPr>
      <w:r>
        <w:rPr>
          <w:sz w:val="21"/>
          <w:szCs w:val="21"/>
        </w:rPr>
        <w:t xml:space="preserve">A duplicate paystackReference is acknowledged but not reprocessed.</w:t>
      </w:r>
    </w:p>
    <w:p>
      <w:pPr>
        <w:pStyle w:val="ListParagraph"/>
        <w:numPr>
          <w:ilvl w:val="0"/>
          <w:numId w:val="2"/>
        </w:numPr>
        <w:spacing w:after="40"/>
      </w:pPr>
      <w:r>
        <w:rPr>
          <w:sz w:val="21"/>
          <w:szCs w:val="21"/>
        </w:rPr>
        <w:t xml:space="preserve">A daily reconciliation job polls Paystack for transactions with no matching local record, in case a webhook was missed.</w:t>
      </w:r>
    </w:p>
    <w:p>
      <w:pPr>
        <w:spacing w:after="60" w:before="120"/>
      </w:pPr>
      <w:r>
        <w:rPr>
          <w:b/>
          <w:bCs/>
          <w:color w:val="2F7D4F"/>
          <w:sz w:val="21"/>
          <w:szCs w:val="21"/>
        </w:rPr>
        <w:t xml:space="preserve">Domain Events Published</w:t>
      </w:r>
    </w:p>
    <w:p>
      <w:pPr>
        <w:pStyle w:val="ListParagraph"/>
        <w:numPr>
          <w:ilvl w:val="0"/>
          <w:numId w:val="2"/>
        </w:numPr>
        <w:spacing w:after="40"/>
      </w:pPr>
      <w:r>
        <w:rPr>
          <w:sz w:val="21"/>
          <w:szCs w:val="21"/>
        </w:rPr>
        <w:t xml:space="preserve">ContributionMadeEvent — published once a Paystack transaction is verified and recorded for the first time.</w:t>
      </w:r>
    </w:p>
    <w:p>
      <w:pPr>
        <w:spacing w:after="60" w:before="120"/>
      </w:pPr>
      <w:r>
        <w:rPr>
          <w:b/>
          <w:bCs/>
          <w:color w:val="2F7D4F"/>
          <w:sz w:val="21"/>
          <w:szCs w:val="21"/>
        </w:rPr>
        <w:t xml:space="preserve">Key Endpoints</w:t>
      </w:r>
    </w:p>
    <w:p>
      <w:pPr>
        <w:pStyle w:val="ListParagraph"/>
        <w:numPr>
          <w:ilvl w:val="0"/>
          <w:numId w:val="2"/>
        </w:numPr>
        <w:spacing w:after="40"/>
      </w:pPr>
      <w:r>
        <w:rPr>
          <w:sz w:val="21"/>
          <w:szCs w:val="21"/>
        </w:rPr>
        <w:t xml:space="preserve">POST /api/webhooks/paystack — Paystack webhook receiver</w:t>
      </w:r>
    </w:p>
    <w:p>
      <w:pPr>
        <w:spacing w:after="60" w:before="120"/>
      </w:pPr>
      <w:r>
        <w:rPr>
          <w:b/>
          <w:bCs/>
          <w:color w:val="2F7D4F"/>
          <w:sz w:val="21"/>
          <w:szCs w:val="21"/>
        </w:rPr>
        <w:t xml:space="preserve">Dependencies</w:t>
      </w:r>
    </w:p>
    <w:p>
      <w:pPr>
        <w:spacing w:after="160"/>
      </w:pPr>
      <w:r>
        <w:t xml:space="preserve">Member Module (resolves the paying member); feeds Contribution Module's event, doesn't call it directly.</w:t>
      </w:r>
    </w:p>
    <w:p>
      <w:pPr>
        <w:pBdr>
          <w:bottom w:val="single" w:color="D8D5C8" w:sz="6" w:space="4"/>
        </w:pBdr>
        <w:spacing w:after="280" w:before="100"/>
      </w:pPr>
    </w:p>
    <w:p>
      <w:pPr>
        <w:pStyle w:val="Heading2"/>
      </w:pPr>
      <w:r>
        <w:rPr>
          <w:color w:val="5B3AA0"/>
        </w:rPr>
        <w:t xml:space="preserve">Auth Service (Spring Security)</w:t>
      </w:r>
    </w:p>
    <w:p>
      <w:pPr>
        <w:spacing w:after="60" w:before="120"/>
      </w:pPr>
      <w:r>
        <w:rPr>
          <w:b/>
          <w:bCs/>
          <w:color w:val="2F7D4F"/>
          <w:sz w:val="21"/>
          <w:szCs w:val="21"/>
        </w:rPr>
        <w:t xml:space="preserve">Responsibility</w:t>
      </w:r>
    </w:p>
    <w:p>
      <w:pPr>
        <w:spacing w:after="160"/>
      </w:pPr>
      <w:r>
        <w:t xml:space="preserve">Authenticates API callers and enforces role-based access control across every other module's endpoints.</w:t>
      </w:r>
    </w:p>
    <w:p>
      <w:pPr>
        <w:spacing w:after="60" w:before="120"/>
      </w:pPr>
      <w:r>
        <w:rPr>
          <w:b/>
          <w:bCs/>
          <w:color w:val="2F7D4F"/>
          <w:sz w:val="21"/>
          <w:szCs w:val="21"/>
        </w:rPr>
        <w:t xml:space="preserve">Business Rules</w:t>
      </w:r>
    </w:p>
    <w:p>
      <w:pPr>
        <w:pStyle w:val="ListParagraph"/>
        <w:numPr>
          <w:ilvl w:val="0"/>
          <w:numId w:val="2"/>
        </w:numPr>
        <w:spacing w:after="40"/>
      </w:pPr>
      <w:r>
        <w:rPr>
          <w:sz w:val="21"/>
          <w:szCs w:val="21"/>
        </w:rPr>
        <w:t xml:space="preserve">Two baseline roles: MEMBER and OFFICER (admin actions — approvals, status/KYC changes — require OFFICER).</w:t>
      </w:r>
    </w:p>
    <w:p>
      <w:pPr>
        <w:pStyle w:val="ListParagraph"/>
        <w:numPr>
          <w:ilvl w:val="0"/>
          <w:numId w:val="2"/>
        </w:numPr>
        <w:spacing w:after="40"/>
      </w:pPr>
      <w:r>
        <w:rPr>
          <w:sz w:val="21"/>
          <w:szCs w:val="21"/>
        </w:rPr>
        <w:t xml:space="preserve">Passwords are hashed (BCrypt), never stored or logged in plaintext.</w:t>
      </w:r>
    </w:p>
    <w:p>
      <w:pPr>
        <w:spacing w:after="60" w:before="120"/>
      </w:pPr>
      <w:r>
        <w:rPr>
          <w:b/>
          <w:bCs/>
          <w:color w:val="2F7D4F"/>
          <w:sz w:val="21"/>
          <w:szCs w:val="21"/>
        </w:rPr>
        <w:t xml:space="preserve">Key Endpoints</w:t>
      </w:r>
    </w:p>
    <w:p>
      <w:pPr>
        <w:pStyle w:val="ListParagraph"/>
        <w:numPr>
          <w:ilvl w:val="0"/>
          <w:numId w:val="2"/>
        </w:numPr>
        <w:spacing w:after="40"/>
      </w:pPr>
      <w:r>
        <w:rPr>
          <w:sz w:val="21"/>
          <w:szCs w:val="21"/>
        </w:rPr>
        <w:t xml:space="preserve">POST /api/auth/login — authenticate and receive a token</w:t>
      </w:r>
    </w:p>
    <w:p>
      <w:pPr>
        <w:pStyle w:val="ListParagraph"/>
        <w:numPr>
          <w:ilvl w:val="0"/>
          <w:numId w:val="2"/>
        </w:numPr>
        <w:spacing w:after="40"/>
      </w:pPr>
      <w:r>
        <w:rPr>
          <w:sz w:val="21"/>
          <w:szCs w:val="21"/>
        </w:rPr>
        <w:t xml:space="preserve">(All other endpoints are protected behind this and checked via @PreAuthorize.)</w:t>
      </w:r>
    </w:p>
    <w:p>
      <w:pPr>
        <w:spacing w:after="60" w:before="120"/>
      </w:pPr>
      <w:r>
        <w:rPr>
          <w:b/>
          <w:bCs/>
          <w:color w:val="2F7D4F"/>
          <w:sz w:val="21"/>
          <w:szCs w:val="21"/>
        </w:rPr>
        <w:t xml:space="preserve">Dependencies</w:t>
      </w:r>
    </w:p>
    <w:p>
      <w:pPr>
        <w:spacing w:after="160"/>
      </w:pPr>
      <w:r>
        <w:t xml:space="preserve">Member Module (a member's role determines their access).</w:t>
      </w:r>
    </w:p>
    <w:p>
      <w:pPr>
        <w:pBdr>
          <w:bottom w:val="single" w:color="D8D5C8" w:sz="6" w:space="4"/>
        </w:pBdr>
        <w:spacing w:after="280" w:before="100"/>
      </w:pPr>
    </w:p>
    <w:p>
      <w:pPr>
        <w:pStyle w:val="Heading2"/>
      </w:pPr>
      <w:r>
        <w:rPr>
          <w:color w:val="2F7D4F"/>
        </w:rPr>
        <w:t xml:space="preserve">Cross-Cutting Concerns</w:t>
      </w:r>
    </w:p>
    <w:p>
      <w:pPr>
        <w:spacing w:after="60" w:before="120"/>
      </w:pPr>
      <w:r>
        <w:rPr>
          <w:b/>
          <w:bCs/>
          <w:color w:val="2F7D4F"/>
          <w:sz w:val="21"/>
          <w:szCs w:val="21"/>
        </w:rPr>
        <w:t xml:space="preserve">Responsibility</w:t>
      </w:r>
    </w:p>
    <w:p>
      <w:pPr>
        <w:spacing w:after="160"/>
      </w:pPr>
      <w:r>
        <w:t xml:space="preserve">Shared infrastructure every module relies on: global exception handling, request validation, logging/audit logging, the in-memory domain event bus, scheduled jobs, and reliability primitives that keep the system correct when external calls or the process itself misbehave.</w:t>
      </w:r>
    </w:p>
    <w:p>
      <w:pPr>
        <w:spacing w:after="60" w:before="120"/>
      </w:pPr>
      <w:r>
        <w:rPr>
          <w:b/>
          <w:bCs/>
          <w:color w:val="2F7D4F"/>
          <w:sz w:val="21"/>
          <w:szCs w:val="21"/>
        </w:rPr>
        <w:t xml:space="preserve">Owned Entities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AF6EE" w:val="clear"/>
            <w:tcMar>
              <w:top w:type="dxa" w:w="80"/>
              <w:left w:type="dxa" w:w="120"/>
              <w:bottom w:type="dxa" w:w="80"/>
              <w:right w:type="dxa" w:w="120"/>
            </w:tcMar>
            <w:vAlign w:val="top"/>
          </w:tcPr>
          <w:p>
            <w:pPr>
              <w:jc w:val="left"/>
            </w:pPr>
            <w:r>
              <w:rPr>
                <w:b/>
                <w:bCs/>
                <w:color w:val="1B4D2E"/>
                <w:sz w:val="19"/>
                <w:szCs w:val="19"/>
              </w:rPr>
              <w:t xml:space="preserve">Entity</w:t>
            </w:r>
          </w:p>
        </w:tc>
        <w:tc>
          <w:tcPr>
            <w:tcW w:type="dxa" w:w="6560"/>
            <w:tcBorders>
              <w:top w:val="single" w:color="CCCCCC" w:sz="1"/>
              <w:left w:val="single" w:color="CCCCCC" w:sz="1"/>
              <w:bottom w:val="single" w:color="CCCCCC" w:sz="1"/>
              <w:right w:val="single" w:color="CCCCCC" w:sz="1"/>
            </w:tcBorders>
            <w:shd w:fill="EAF6EE" w:val="clear"/>
            <w:tcMar>
              <w:top w:type="dxa" w:w="80"/>
              <w:left w:type="dxa" w:w="120"/>
              <w:bottom w:type="dxa" w:w="80"/>
              <w:right w:type="dxa" w:w="120"/>
            </w:tcMar>
            <w:vAlign w:val="top"/>
          </w:tcPr>
          <w:p>
            <w:pPr>
              <w:jc w:val="left"/>
            </w:pPr>
            <w:r>
              <w:rPr>
                <w:b/>
                <w:bCs/>
                <w:color w:val="1B4D2E"/>
                <w:sz w:val="19"/>
                <w:szCs w:val="19"/>
              </w:rPr>
              <w:t xml:space="preserve">Fields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1A1A1A"/>
                <w:sz w:val="19"/>
                <w:szCs w:val="19"/>
              </w:rPr>
              <w:t xml:space="preserve">event_outbox</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1A1A1A"/>
                <w:sz w:val="19"/>
                <w:szCs w:val="19"/>
              </w:rPr>
              <w:t xml:space="preserve">id (PK), eventType, payload, status (PENDING/DISPATCHED), createdAt, dispatchedAt — backs the transactional outbox</w:t>
            </w:r>
          </w:p>
        </w:tc>
      </w:tr>
    </w:tbl>
    <w:p>
      <w:pPr>
        <w:spacing w:after="160"/>
      </w:pPr>
    </w:p>
    <w:p>
      <w:pPr>
        <w:spacing w:after="60" w:before="120"/>
      </w:pPr>
      <w:r>
        <w:rPr>
          <w:b/>
          <w:bCs/>
          <w:color w:val="2F7D4F"/>
          <w:sz w:val="21"/>
          <w:szCs w:val="21"/>
        </w:rPr>
        <w:t xml:space="preserve">Business Rules</w:t>
      </w:r>
    </w:p>
    <w:p>
      <w:pPr>
        <w:pStyle w:val="ListParagraph"/>
        <w:numPr>
          <w:ilvl w:val="0"/>
          <w:numId w:val="2"/>
        </w:numPr>
        <w:spacing w:after="40"/>
      </w:pPr>
      <w:r>
        <w:rPr>
          <w:sz w:val="21"/>
          <w:szCs w:val="21"/>
        </w:rPr>
        <w:t xml:space="preserve">Every API error returns a consistent error response shape.</w:t>
      </w:r>
    </w:p>
    <w:p>
      <w:pPr>
        <w:pStyle w:val="ListParagraph"/>
        <w:numPr>
          <w:ilvl w:val="0"/>
          <w:numId w:val="2"/>
        </w:numPr>
        <w:spacing w:after="40"/>
      </w:pPr>
      <w:r>
        <w:rPr>
          <w:sz w:val="21"/>
          <w:szCs w:val="21"/>
        </w:rPr>
        <w:t xml:space="preserve">Every financial mutation is audit-logged with who/when/what.</w:t>
      </w:r>
    </w:p>
    <w:p>
      <w:pPr>
        <w:pStyle w:val="ListParagraph"/>
        <w:numPr>
          <w:ilvl w:val="0"/>
          <w:numId w:val="2"/>
        </w:numPr>
        <w:spacing w:after="40"/>
      </w:pPr>
      <w:r>
        <w:rPr>
          <w:sz w:val="21"/>
          <w:szCs w:val="21"/>
        </w:rPr>
        <w:t xml:space="preserve">Outbound calls (Paystack verification, email send) are wrapped with Spring Retry: exponential backoff + jitter.</w:t>
      </w:r>
    </w:p>
    <w:p>
      <w:pPr>
        <w:pStyle w:val="ListParagraph"/>
        <w:numPr>
          <w:ilvl w:val="0"/>
          <w:numId w:val="2"/>
        </w:numPr>
        <w:spacing w:after="40"/>
      </w:pPr>
      <w:r>
        <w:rPr>
          <w:sz w:val="21"/>
          <w:szCs w:val="21"/>
        </w:rPr>
        <w:t xml:space="preserve">Every event that triggers a financial posting is first written to event_outbox in the same transaction as the originating write, then dispatched by a poller — so a crash between commit and in-process delivery can't silently lose a ledger posting.</w:t>
      </w:r>
    </w:p>
    <w:p>
      <w:pPr>
        <w:pStyle w:val="ListParagraph"/>
        <w:numPr>
          <w:ilvl w:val="0"/>
          <w:numId w:val="2"/>
        </w:numPr>
        <w:spacing w:after="40"/>
      </w:pPr>
      <w:r>
        <w:rPr>
          <w:sz w:val="21"/>
          <w:szCs w:val="21"/>
        </w:rPr>
        <w:t xml:space="preserve">Two scheduled jobs live here structurally even though Loan and Payment Gateway own their logic: the installment due-date sweep and the Paystack reconciliation sweep.</w:t>
      </w:r>
    </w:p>
    <w:p>
      <w:pPr>
        <w:spacing w:after="60" w:before="120"/>
      </w:pPr>
      <w:r>
        <w:rPr>
          <w:b/>
          <w:bCs/>
          <w:color w:val="2F7D4F"/>
          <w:sz w:val="21"/>
          <w:szCs w:val="21"/>
        </w:rPr>
        <w:t xml:space="preserve">Dependencies</w:t>
      </w:r>
    </w:p>
    <w:p>
      <w:pPr>
        <w:spacing w:after="160"/>
      </w:pPr>
      <w:r>
        <w:t xml:space="preserve">Used by every module; depends on none.</w:t>
      </w:r>
    </w:p>
    <w:p>
      <w:pPr>
        <w:pBdr>
          <w:bottom w:val="single" w:color="D8D5C8" w:sz="6" w:space="4"/>
        </w:pBdr>
        <w:spacing w:after="280" w:before="100"/>
      </w:pPr>
    </w:p>
    <w:p>
      <w:pPr>
        <w:pStyle w:val="Heading1"/>
      </w:pPr>
      <w:r>
        <w:t xml:space="preserve">3. Task Breakdown</w:t>
      </w:r>
    </w:p>
    <w:p>
      <w:pPr>
        <w:spacing w:after="160"/>
      </w:pPr>
      <w:r>
        <w:t xml:space="preserve">The work needed to complete the full-scope build is broken into 50 discrete tasks across 10 groups (the eight business/auth modules, shared infrastructure, and QA/deployment). Each task is sized to be roughly a day-to-a-few-days of work for one person; tasks within the same module are listed in the order they're most naturally built. Loan Module carries the most tasks by a wide margin (12) since guarantorship, risk scoring, installments, and default handling all live there by design — expect it to be the busiest module in standups.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900"/>
        <w:gridCol w:w="2360"/>
        <w:gridCol w:w="4500"/>
      </w:tblGrid>
      <w:tr>
        <w:tc>
          <w:tcPr>
            <w:tcW w:type="dxa" w:w="600"/>
            <w:tcBorders>
              <w:top w:val="single" w:color="CCCCCC" w:sz="1"/>
              <w:left w:val="single" w:color="CCCCCC" w:sz="1"/>
              <w:bottom w:val="single" w:color="CCCCCC" w:sz="1"/>
              <w:right w:val="single" w:color="CCCCCC" w:sz="1"/>
            </w:tcBorders>
            <w:shd w:fill="1B4D2E" w:val="clear"/>
            <w:tcMar>
              <w:top w:type="dxa" w:w="80"/>
              <w:left w:type="dxa" w:w="120"/>
              <w:bottom w:type="dxa" w:w="80"/>
              <w:right w:type="dxa" w:w="120"/>
            </w:tcMar>
            <w:vAlign w:val="top"/>
          </w:tcPr>
          <w:p>
            <w:pPr>
              <w:jc w:val="left"/>
            </w:pPr>
            <w:r>
              <w:rPr>
                <w:b/>
                <w:bCs/>
                <w:color w:val="FFFFFF"/>
                <w:sz w:val="19"/>
                <w:szCs w:val="19"/>
              </w:rPr>
              <w:t xml:space="preserve">ID</w:t>
            </w:r>
          </w:p>
        </w:tc>
        <w:tc>
          <w:tcPr>
            <w:tcW w:type="dxa" w:w="1900"/>
            <w:tcBorders>
              <w:top w:val="single" w:color="CCCCCC" w:sz="1"/>
              <w:left w:val="single" w:color="CCCCCC" w:sz="1"/>
              <w:bottom w:val="single" w:color="CCCCCC" w:sz="1"/>
              <w:right w:val="single" w:color="CCCCCC" w:sz="1"/>
            </w:tcBorders>
            <w:shd w:fill="1B4D2E" w:val="clear"/>
            <w:tcMar>
              <w:top w:type="dxa" w:w="80"/>
              <w:left w:type="dxa" w:w="120"/>
              <w:bottom w:type="dxa" w:w="80"/>
              <w:right w:type="dxa" w:w="120"/>
            </w:tcMar>
            <w:vAlign w:val="top"/>
          </w:tcPr>
          <w:p>
            <w:pPr>
              <w:jc w:val="left"/>
            </w:pPr>
            <w:r>
              <w:rPr>
                <w:b/>
                <w:bCs/>
                <w:color w:val="FFFFFF"/>
                <w:sz w:val="19"/>
                <w:szCs w:val="19"/>
              </w:rPr>
              <w:t xml:space="preserve">Module</w:t>
            </w:r>
          </w:p>
        </w:tc>
        <w:tc>
          <w:tcPr>
            <w:tcW w:type="dxa" w:w="2360"/>
            <w:tcBorders>
              <w:top w:val="single" w:color="CCCCCC" w:sz="1"/>
              <w:left w:val="single" w:color="CCCCCC" w:sz="1"/>
              <w:bottom w:val="single" w:color="CCCCCC" w:sz="1"/>
              <w:right w:val="single" w:color="CCCCCC" w:sz="1"/>
            </w:tcBorders>
            <w:shd w:fill="1B4D2E" w:val="clear"/>
            <w:tcMar>
              <w:top w:type="dxa" w:w="80"/>
              <w:left w:type="dxa" w:w="120"/>
              <w:bottom w:type="dxa" w:w="80"/>
              <w:right w:type="dxa" w:w="120"/>
            </w:tcMar>
            <w:vAlign w:val="top"/>
          </w:tcPr>
          <w:p>
            <w:pPr>
              <w:jc w:val="left"/>
            </w:pPr>
            <w:r>
              <w:rPr>
                <w:b/>
                <w:bCs/>
                <w:color w:val="FFFFFF"/>
                <w:sz w:val="19"/>
                <w:szCs w:val="19"/>
              </w:rPr>
              <w:t xml:space="preserve">Task</w:t>
            </w:r>
          </w:p>
        </w:tc>
        <w:tc>
          <w:tcPr>
            <w:tcW w:type="dxa" w:w="4500"/>
            <w:tcBorders>
              <w:top w:val="single" w:color="CCCCCC" w:sz="1"/>
              <w:left w:val="single" w:color="CCCCCC" w:sz="1"/>
              <w:bottom w:val="single" w:color="CCCCCC" w:sz="1"/>
              <w:right w:val="single" w:color="CCCCCC" w:sz="1"/>
            </w:tcBorders>
            <w:shd w:fill="1B4D2E" w:val="clear"/>
            <w:tcMar>
              <w:top w:type="dxa" w:w="80"/>
              <w:left w:type="dxa" w:w="120"/>
              <w:bottom w:type="dxa" w:w="80"/>
              <w:right w:type="dxa" w:w="120"/>
            </w:tcMar>
            <w:vAlign w:val="top"/>
          </w:tcPr>
          <w:p>
            <w:pPr>
              <w:jc w:val="left"/>
            </w:pPr>
            <w:r>
              <w:rPr>
                <w:b/>
                <w:bCs/>
                <w:color w:val="FFFFFF"/>
                <w:sz w:val="19"/>
                <w:szCs w:val="19"/>
              </w:rPr>
              <w:t xml:space="preserve">Description</w:t>
            </w:r>
          </w:p>
        </w:tc>
      </w:tr>
      <w:tr>
        <w:tc>
          <w:tcPr>
            <w:tcW w:type="dxa" w:w="600"/>
            <w:tcBorders>
              <w:top w:val="single" w:color="CCCCCC" w:sz="1"/>
              <w:left w:val="single" w:color="CCCCCC" w:sz="1"/>
              <w:bottom w:val="single" w:color="CCCCCC" w:sz="1"/>
              <w:right w:val="single" w:color="CCCCCC" w:sz="1"/>
            </w:tcBorders>
            <w:shd w:fill="F4F2EA" w:val="clear"/>
            <w:tcMar>
              <w:top w:type="dxa" w:w="80"/>
              <w:left w:type="dxa" w:w="120"/>
              <w:bottom w:type="dxa" w:w="80"/>
              <w:right w:type="dxa" w:w="120"/>
            </w:tcMar>
            <w:vAlign w:val="top"/>
          </w:tcPr>
          <w:p>
            <w:pPr>
              <w:jc w:val="left"/>
            </w:pPr>
            <w:r>
              <w:rPr>
                <w:b/>
                <w:bCs/>
                <w:color w:val="1A1A1A"/>
                <w:sz w:val="18"/>
                <w:szCs w:val="18"/>
              </w:rPr>
              <w:t xml:space="preserve">T1</w:t>
            </w:r>
          </w:p>
        </w:tc>
        <w:tc>
          <w:tcPr>
            <w:tcW w:type="dxa" w:w="1900"/>
            <w:tcBorders>
              <w:top w:val="single" w:color="CCCCCC" w:sz="1"/>
              <w:left w:val="single" w:color="CCCCCC" w:sz="1"/>
              <w:bottom w:val="single" w:color="CCCCCC" w:sz="1"/>
              <w:right w:val="single" w:color="CCCCCC" w:sz="1"/>
            </w:tcBorders>
            <w:shd w:fill="F4F2EA" w:val="clear"/>
            <w:tcMar>
              <w:top w:type="dxa" w:w="80"/>
              <w:left w:type="dxa" w:w="120"/>
              <w:bottom w:type="dxa" w:w="80"/>
              <w:right w:type="dxa" w:w="120"/>
            </w:tcMar>
            <w:vAlign w:val="top"/>
          </w:tcPr>
          <w:p>
            <w:pPr>
              <w:jc w:val="left"/>
            </w:pPr>
            <w:r>
              <w:rPr>
                <w:b w:val="false"/>
                <w:bCs w:val="false"/>
                <w:color w:val="1A1A1A"/>
                <w:sz w:val="18"/>
                <w:szCs w:val="18"/>
              </w:rPr>
              <w:t xml:space="preserve">Infrastructure &amp; Shared</w:t>
            </w:r>
          </w:p>
        </w:tc>
        <w:tc>
          <w:tcPr>
            <w:tcW w:type="dxa" w:w="2360"/>
            <w:tcBorders>
              <w:top w:val="single" w:color="CCCCCC" w:sz="1"/>
              <w:left w:val="single" w:color="CCCCCC" w:sz="1"/>
              <w:bottom w:val="single" w:color="CCCCCC" w:sz="1"/>
              <w:right w:val="single" w:color="CCCCCC" w:sz="1"/>
            </w:tcBorders>
            <w:shd w:fill="F4F2EA" w:val="clear"/>
            <w:tcMar>
              <w:top w:type="dxa" w:w="80"/>
              <w:left w:type="dxa" w:w="120"/>
              <w:bottom w:type="dxa" w:w="80"/>
              <w:right w:type="dxa" w:w="120"/>
            </w:tcMar>
            <w:vAlign w:val="top"/>
          </w:tcPr>
          <w:p>
            <w:pPr>
              <w:jc w:val="left"/>
            </w:pPr>
            <w:r>
              <w:rPr>
                <w:b/>
                <w:bCs/>
                <w:color w:val="1A1A1A"/>
                <w:sz w:val="18"/>
                <w:szCs w:val="18"/>
              </w:rPr>
              <w:t xml:space="preserve">Project scaffolding &amp; module package structure</w:t>
            </w:r>
          </w:p>
        </w:tc>
        <w:tc>
          <w:tcPr>
            <w:tcW w:type="dxa" w:w="4500"/>
            <w:tcBorders>
              <w:top w:val="single" w:color="CCCCCC" w:sz="1"/>
              <w:left w:val="single" w:color="CCCCCC" w:sz="1"/>
              <w:bottom w:val="single" w:color="CCCCCC" w:sz="1"/>
              <w:right w:val="single" w:color="CCCCCC" w:sz="1"/>
            </w:tcBorders>
            <w:shd w:fill="F4F2EA" w:val="clear"/>
            <w:tcMar>
              <w:top w:type="dxa" w:w="80"/>
              <w:left w:type="dxa" w:w="120"/>
              <w:bottom w:type="dxa" w:w="80"/>
              <w:right w:type="dxa" w:w="120"/>
            </w:tcMar>
            <w:vAlign w:val="top"/>
          </w:tcPr>
          <w:p>
            <w:pPr>
              <w:jc w:val="left"/>
            </w:pPr>
            <w:r>
              <w:rPr>
                <w:b w:val="false"/>
                <w:bCs w:val="false"/>
                <w:color w:val="1A1A1A"/>
                <w:sz w:val="18"/>
                <w:szCs w:val="18"/>
              </w:rPr>
              <w:t xml:space="preserve">Set up the Maven project, base package layout for the modular monolith (one package per module), and shared base classes.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bCs/>
                <w:color w:val="1A1A1A"/>
                <w:sz w:val="18"/>
                <w:szCs w:val="18"/>
              </w:rPr>
              <w:t xml:space="preserve">T2</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1A1A1A"/>
                <w:sz w:val="18"/>
                <w:szCs w:val="18"/>
              </w:rPr>
              <w:t xml:space="preserve">Infrastructure &amp; Shared</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bCs/>
                <w:color w:val="1A1A1A"/>
                <w:sz w:val="18"/>
                <w:szCs w:val="18"/>
              </w:rPr>
              <w:t xml:space="preserve">PostgreSQL setup &amp; configuration</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1A1A1A"/>
                <w:sz w:val="18"/>
                <w:szCs w:val="18"/>
              </w:rPr>
              <w:t xml:space="preserve">Configure the PostgreSQL datasource, connection pooling, and a local Docker Compose file for development.</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bCs/>
                <w:color w:val="1A1A1A"/>
                <w:sz w:val="18"/>
                <w:szCs w:val="18"/>
              </w:rPr>
              <w:t xml:space="preserve">T3</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1A1A1A"/>
                <w:sz w:val="18"/>
                <w:szCs w:val="18"/>
              </w:rPr>
              <w:t xml:space="preserve">Infrastructure &amp; Shared</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bCs/>
                <w:color w:val="1A1A1A"/>
                <w:sz w:val="18"/>
                <w:szCs w:val="18"/>
              </w:rPr>
              <w:t xml:space="preserve">Global exception handling &amp; validation framework</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1A1A1A"/>
                <w:sz w:val="18"/>
                <w:szCs w:val="18"/>
              </w:rPr>
              <w:t xml:space="preserve">Build a @ControllerAdvice-based global exception handler with a standard error response shape, plus Bean Validation wiring for DTOs.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bCs/>
                <w:color w:val="1A1A1A"/>
                <w:sz w:val="18"/>
                <w:szCs w:val="18"/>
              </w:rPr>
              <w:t xml:space="preserve">T4</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1A1A1A"/>
                <w:sz w:val="18"/>
                <w:szCs w:val="18"/>
              </w:rPr>
              <w:t xml:space="preserve">Infrastructure &amp; Shared</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bCs/>
                <w:color w:val="1A1A1A"/>
                <w:sz w:val="18"/>
                <w:szCs w:val="18"/>
              </w:rPr>
              <w:t xml:space="preserve">Logging &amp; audit logging configuration</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1A1A1A"/>
                <w:sz w:val="18"/>
                <w:szCs w:val="18"/>
              </w:rPr>
              <w:t xml:space="preserve">Set up structured application logging and a dedicated audit log for financial transactions.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bCs/>
                <w:color w:val="1A1A1A"/>
                <w:sz w:val="18"/>
                <w:szCs w:val="18"/>
              </w:rPr>
              <w:t xml:space="preserve">T5</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1A1A1A"/>
                <w:sz w:val="18"/>
                <w:szCs w:val="18"/>
              </w:rPr>
              <w:t xml:space="preserve">Infrastructure &amp; Shared</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bCs/>
                <w:color w:val="1A1A1A"/>
                <w:sz w:val="18"/>
                <w:szCs w:val="18"/>
              </w:rPr>
              <w:t xml:space="preserve">Domain event infrastructure</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1A1A1A"/>
                <w:sz w:val="18"/>
                <w:szCs w:val="18"/>
              </w:rPr>
              <w:t xml:space="preserve">Build the base domain event classes and wire up Spring's ApplicationEventPublisher / @TransactionalEventListener pattern used by every module.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bCs/>
                <w:color w:val="1A1A1A"/>
                <w:sz w:val="18"/>
                <w:szCs w:val="18"/>
              </w:rPr>
              <w:t xml:space="preserve">T6</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1A1A1A"/>
                <w:sz w:val="18"/>
                <w:szCs w:val="18"/>
              </w:rPr>
              <w:t xml:space="preserve">Infrastructure &amp; Shared</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bCs/>
                <w:color w:val="1A1A1A"/>
                <w:sz w:val="18"/>
                <w:szCs w:val="18"/>
              </w:rPr>
              <w:t xml:space="preserve">OpenAPI / Swagger documentation setup</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1A1A1A"/>
                <w:sz w:val="18"/>
                <w:szCs w:val="18"/>
              </w:rPr>
              <w:t xml:space="preserve">Add springdoc-openapi, configure it project-wide, and establish the convention for documenting each module's endpoints.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bCs/>
                <w:color w:val="1A1A1A"/>
                <w:sz w:val="18"/>
                <w:szCs w:val="18"/>
              </w:rPr>
              <w:t xml:space="preserve">T7</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1A1A1A"/>
                <w:sz w:val="18"/>
                <w:szCs w:val="18"/>
              </w:rPr>
              <w:t xml:space="preserve">Infrastructure &amp; Shared</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bCs/>
                <w:color w:val="1A1A1A"/>
                <w:sz w:val="18"/>
                <w:szCs w:val="18"/>
              </w:rPr>
              <w:t xml:space="preserve">Spring Security: authentication &amp; role-based authorization</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1A1A1A"/>
                <w:sz w:val="18"/>
                <w:szCs w:val="18"/>
              </w:rPr>
              <w:t xml:space="preserve">Implement login/authentication, password hashing, and role-based access rules distinguishing members from officers/admins.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bCs/>
                <w:color w:val="1A1A1A"/>
                <w:sz w:val="18"/>
                <w:szCs w:val="18"/>
              </w:rPr>
              <w:t xml:space="preserve">T8</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1A1A1A"/>
                <w:sz w:val="18"/>
                <w:szCs w:val="18"/>
              </w:rPr>
              <w:t xml:space="preserve">Infrastructure &amp; Shared</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bCs/>
                <w:color w:val="1A1A1A"/>
                <w:sz w:val="18"/>
                <w:szCs w:val="18"/>
              </w:rPr>
              <w:t xml:space="preserve">Transactional outbox implementation</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1A1A1A"/>
                <w:sz w:val="18"/>
                <w:szCs w:val="18"/>
              </w:rPr>
              <w:t xml:space="preserve">Build the event_outbox table and a poller/dispatcher so a financial event is durably recorded in the same transaction as its originating write, before being delivered.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bCs/>
                <w:color w:val="1A1A1A"/>
                <w:sz w:val="18"/>
                <w:szCs w:val="18"/>
              </w:rPr>
              <w:t xml:space="preserve">T9</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1A1A1A"/>
                <w:sz w:val="18"/>
                <w:szCs w:val="18"/>
              </w:rPr>
              <w:t xml:space="preserve">Infrastructure &amp; Shared</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bCs/>
                <w:color w:val="1A1A1A"/>
                <w:sz w:val="18"/>
                <w:szCs w:val="18"/>
              </w:rPr>
              <w:t xml:space="preserve">Retry &amp; backoff framework for outbound calls</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1A1A1A"/>
                <w:sz w:val="18"/>
                <w:szCs w:val="18"/>
              </w:rPr>
              <w:t xml:space="preserve">Wire up Spring Retry with exponential backoff and jitter for outbound calls (Paystack verification, email sending).</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bCs/>
                <w:color w:val="1A1A1A"/>
                <w:sz w:val="18"/>
                <w:szCs w:val="18"/>
              </w:rPr>
              <w:t xml:space="preserve">T10</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1A1A1A"/>
                <w:sz w:val="18"/>
                <w:szCs w:val="18"/>
              </w:rPr>
              <w:t xml:space="preserve">Infrastructure &amp; Shared</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bCs/>
                <w:color w:val="1A1A1A"/>
                <w:sz w:val="18"/>
                <w:szCs w:val="18"/>
              </w:rPr>
              <w:t xml:space="preserve">Scheduled job infrastructure</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1A1A1A"/>
                <w:sz w:val="18"/>
                <w:szCs w:val="18"/>
              </w:rPr>
              <w:t xml:space="preserve">Set up Spring's @Scheduled configuration and a small job registry/logging convention shared by the installment sweep and the Paystack reconciliation job.</w:t>
            </w:r>
          </w:p>
        </w:tc>
      </w:tr>
      <w:tr>
        <w:tc>
          <w:tcPr>
            <w:tcW w:type="dxa" w:w="600"/>
            <w:tcBorders>
              <w:top w:val="single" w:color="CCCCCC" w:sz="1"/>
              <w:left w:val="single" w:color="CCCCCC" w:sz="1"/>
              <w:bottom w:val="single" w:color="CCCCCC" w:sz="1"/>
              <w:right w:val="single" w:color="CCCCCC" w:sz="1"/>
            </w:tcBorders>
            <w:shd w:fill="F4F2EA" w:val="clear"/>
            <w:tcMar>
              <w:top w:type="dxa" w:w="80"/>
              <w:left w:type="dxa" w:w="120"/>
              <w:bottom w:type="dxa" w:w="80"/>
              <w:right w:type="dxa" w:w="120"/>
            </w:tcMar>
            <w:vAlign w:val="top"/>
          </w:tcPr>
          <w:p>
            <w:pPr>
              <w:jc w:val="left"/>
            </w:pPr>
            <w:r>
              <w:rPr>
                <w:b/>
                <w:bCs/>
                <w:color w:val="1A1A1A"/>
                <w:sz w:val="18"/>
                <w:szCs w:val="18"/>
              </w:rPr>
              <w:t xml:space="preserve">T11</w:t>
            </w:r>
          </w:p>
        </w:tc>
        <w:tc>
          <w:tcPr>
            <w:tcW w:type="dxa" w:w="1900"/>
            <w:tcBorders>
              <w:top w:val="single" w:color="CCCCCC" w:sz="1"/>
              <w:left w:val="single" w:color="CCCCCC" w:sz="1"/>
              <w:bottom w:val="single" w:color="CCCCCC" w:sz="1"/>
              <w:right w:val="single" w:color="CCCCCC" w:sz="1"/>
            </w:tcBorders>
            <w:shd w:fill="F4F2EA" w:val="clear"/>
            <w:tcMar>
              <w:top w:type="dxa" w:w="80"/>
              <w:left w:type="dxa" w:w="120"/>
              <w:bottom w:type="dxa" w:w="80"/>
              <w:right w:type="dxa" w:w="120"/>
            </w:tcMar>
            <w:vAlign w:val="top"/>
          </w:tcPr>
          <w:p>
            <w:pPr>
              <w:jc w:val="left"/>
            </w:pPr>
            <w:r>
              <w:rPr>
                <w:b w:val="false"/>
                <w:bCs w:val="false"/>
                <w:color w:val="1A1A1A"/>
                <w:sz w:val="18"/>
                <w:szCs w:val="18"/>
              </w:rPr>
              <w:t xml:space="preserve">Member Module</w:t>
            </w:r>
          </w:p>
        </w:tc>
        <w:tc>
          <w:tcPr>
            <w:tcW w:type="dxa" w:w="2360"/>
            <w:tcBorders>
              <w:top w:val="single" w:color="CCCCCC" w:sz="1"/>
              <w:left w:val="single" w:color="CCCCCC" w:sz="1"/>
              <w:bottom w:val="single" w:color="CCCCCC" w:sz="1"/>
              <w:right w:val="single" w:color="CCCCCC" w:sz="1"/>
            </w:tcBorders>
            <w:shd w:fill="F4F2EA" w:val="clear"/>
            <w:tcMar>
              <w:top w:type="dxa" w:w="80"/>
              <w:left w:type="dxa" w:w="120"/>
              <w:bottom w:type="dxa" w:w="80"/>
              <w:right w:type="dxa" w:w="120"/>
            </w:tcMar>
            <w:vAlign w:val="top"/>
          </w:tcPr>
          <w:p>
            <w:pPr>
              <w:jc w:val="left"/>
            </w:pPr>
            <w:r>
              <w:rPr>
                <w:b/>
                <w:bCs/>
                <w:color w:val="1A1A1A"/>
                <w:sz w:val="18"/>
                <w:szCs w:val="18"/>
              </w:rPr>
              <w:t xml:space="preserve">Member entity, repository &amp; migration</w:t>
            </w:r>
          </w:p>
        </w:tc>
        <w:tc>
          <w:tcPr>
            <w:tcW w:type="dxa" w:w="4500"/>
            <w:tcBorders>
              <w:top w:val="single" w:color="CCCCCC" w:sz="1"/>
              <w:left w:val="single" w:color="CCCCCC" w:sz="1"/>
              <w:bottom w:val="single" w:color="CCCCCC" w:sz="1"/>
              <w:right w:val="single" w:color="CCCCCC" w:sz="1"/>
            </w:tcBorders>
            <w:shd w:fill="F4F2EA" w:val="clear"/>
            <w:tcMar>
              <w:top w:type="dxa" w:w="80"/>
              <w:left w:type="dxa" w:w="120"/>
              <w:bottom w:type="dxa" w:w="80"/>
              <w:right w:type="dxa" w:w="120"/>
            </w:tcMar>
            <w:vAlign w:val="top"/>
          </w:tcPr>
          <w:p>
            <w:pPr>
              <w:jc w:val="left"/>
            </w:pPr>
            <w:r>
              <w:rPr>
                <w:b w:val="false"/>
                <w:bCs w:val="false"/>
                <w:color w:val="1A1A1A"/>
                <w:sz w:val="18"/>
                <w:szCs w:val="18"/>
              </w:rPr>
              <w:t xml:space="preserve">Create the Member JPA entity (including KYC fields), repository, and migration.</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bCs/>
                <w:color w:val="1A1A1A"/>
                <w:sz w:val="18"/>
                <w:szCs w:val="18"/>
              </w:rPr>
              <w:t xml:space="preserve">T12</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1A1A1A"/>
                <w:sz w:val="18"/>
                <w:szCs w:val="18"/>
              </w:rPr>
              <w:t xml:space="preserve">Member Module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bCs/>
                <w:color w:val="1A1A1A"/>
                <w:sz w:val="18"/>
                <w:szCs w:val="18"/>
              </w:rPr>
              <w:t xml:space="preserve">Member registration &amp; profile API</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1A1A1A"/>
                <w:sz w:val="18"/>
                <w:szCs w:val="18"/>
              </w:rPr>
              <w:t xml:space="preserve">Build the create-member and view/update-profile REST endpoints.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bCs/>
                <w:color w:val="1A1A1A"/>
                <w:sz w:val="18"/>
                <w:szCs w:val="18"/>
              </w:rPr>
              <w:t xml:space="preserve">T13</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1A1A1A"/>
                <w:sz w:val="18"/>
                <w:szCs w:val="18"/>
              </w:rPr>
              <w:t xml:space="preserve">Member Module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bCs/>
                <w:color w:val="1A1A1A"/>
                <w:sz w:val="18"/>
                <w:szCs w:val="18"/>
              </w:rPr>
              <w:t xml:space="preserve">Member status &amp; KYC verification workflow</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1A1A1A"/>
                <w:sz w:val="18"/>
                <w:szCs w:val="18"/>
              </w:rPr>
              <w:t xml:space="preserve">Implement status transitions and the officer-reviewed KYC approve/reject workflow, plus the authorization rules around both.</w:t>
            </w:r>
          </w:p>
        </w:tc>
      </w:tr>
      <w:tr>
        <w:tc>
          <w:tcPr>
            <w:tcW w:type="dxa" w:w="600"/>
            <w:tcBorders>
              <w:top w:val="single" w:color="CCCCCC" w:sz="1"/>
              <w:left w:val="single" w:color="CCCCCC" w:sz="1"/>
              <w:bottom w:val="single" w:color="CCCCCC" w:sz="1"/>
              <w:right w:val="single" w:color="CCCCCC" w:sz="1"/>
            </w:tcBorders>
            <w:shd w:fill="F4F2EA" w:val="clear"/>
            <w:tcMar>
              <w:top w:type="dxa" w:w="80"/>
              <w:left w:type="dxa" w:w="120"/>
              <w:bottom w:type="dxa" w:w="80"/>
              <w:right w:type="dxa" w:w="120"/>
            </w:tcMar>
            <w:vAlign w:val="top"/>
          </w:tcPr>
          <w:p>
            <w:pPr>
              <w:jc w:val="left"/>
            </w:pPr>
            <w:r>
              <w:rPr>
                <w:b/>
                <w:bCs/>
                <w:color w:val="1A1A1A"/>
                <w:sz w:val="18"/>
                <w:szCs w:val="18"/>
              </w:rPr>
              <w:t xml:space="preserve">T14</w:t>
            </w:r>
          </w:p>
        </w:tc>
        <w:tc>
          <w:tcPr>
            <w:tcW w:type="dxa" w:w="1900"/>
            <w:tcBorders>
              <w:top w:val="single" w:color="CCCCCC" w:sz="1"/>
              <w:left w:val="single" w:color="CCCCCC" w:sz="1"/>
              <w:bottom w:val="single" w:color="CCCCCC" w:sz="1"/>
              <w:right w:val="single" w:color="CCCCCC" w:sz="1"/>
            </w:tcBorders>
            <w:shd w:fill="F4F2EA" w:val="clear"/>
            <w:tcMar>
              <w:top w:type="dxa" w:w="80"/>
              <w:left w:type="dxa" w:w="120"/>
              <w:bottom w:type="dxa" w:w="80"/>
              <w:right w:type="dxa" w:w="120"/>
            </w:tcMar>
            <w:vAlign w:val="top"/>
          </w:tcPr>
          <w:p>
            <w:pPr>
              <w:jc w:val="left"/>
            </w:pPr>
            <w:r>
              <w:rPr>
                <w:b w:val="false"/>
                <w:bCs w:val="false"/>
                <w:color w:val="1A1A1A"/>
                <w:sz w:val="18"/>
                <w:szCs w:val="18"/>
              </w:rPr>
              <w:t xml:space="preserve">Contribution Module</w:t>
            </w:r>
          </w:p>
        </w:tc>
        <w:tc>
          <w:tcPr>
            <w:tcW w:type="dxa" w:w="2360"/>
            <w:tcBorders>
              <w:top w:val="single" w:color="CCCCCC" w:sz="1"/>
              <w:left w:val="single" w:color="CCCCCC" w:sz="1"/>
              <w:bottom w:val="single" w:color="CCCCCC" w:sz="1"/>
              <w:right w:val="single" w:color="CCCCCC" w:sz="1"/>
            </w:tcBorders>
            <w:shd w:fill="F4F2EA" w:val="clear"/>
            <w:tcMar>
              <w:top w:type="dxa" w:w="80"/>
              <w:left w:type="dxa" w:w="120"/>
              <w:bottom w:type="dxa" w:w="80"/>
              <w:right w:type="dxa" w:w="120"/>
            </w:tcMar>
            <w:vAlign w:val="top"/>
          </w:tcPr>
          <w:p>
            <w:pPr>
              <w:jc w:val="left"/>
            </w:pPr>
            <w:r>
              <w:rPr>
                <w:b/>
                <w:bCs/>
                <w:color w:val="1A1A1A"/>
                <w:sz w:val="18"/>
                <w:szCs w:val="18"/>
              </w:rPr>
              <w:t xml:space="preserve">Contribution entity, repository &amp; migration</w:t>
            </w:r>
          </w:p>
        </w:tc>
        <w:tc>
          <w:tcPr>
            <w:tcW w:type="dxa" w:w="4500"/>
            <w:tcBorders>
              <w:top w:val="single" w:color="CCCCCC" w:sz="1"/>
              <w:left w:val="single" w:color="CCCCCC" w:sz="1"/>
              <w:bottom w:val="single" w:color="CCCCCC" w:sz="1"/>
              <w:right w:val="single" w:color="CCCCCC" w:sz="1"/>
            </w:tcBorders>
            <w:shd w:fill="F4F2EA" w:val="clear"/>
            <w:tcMar>
              <w:top w:type="dxa" w:w="80"/>
              <w:left w:type="dxa" w:w="120"/>
              <w:bottom w:type="dxa" w:w="80"/>
              <w:right w:type="dxa" w:w="120"/>
            </w:tcMar>
            <w:vAlign w:val="top"/>
          </w:tcPr>
          <w:p>
            <w:pPr>
              <w:jc w:val="left"/>
            </w:pPr>
            <w:r>
              <w:rPr>
                <w:b w:val="false"/>
                <w:bCs w:val="false"/>
                <w:color w:val="1A1A1A"/>
                <w:sz w:val="18"/>
                <w:szCs w:val="18"/>
              </w:rPr>
              <w:t xml:space="preserve">Create the Contribution entity (including its source field), repository, and migration.</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bCs/>
                <w:color w:val="1A1A1A"/>
                <w:sz w:val="18"/>
                <w:szCs w:val="18"/>
              </w:rPr>
              <w:t xml:space="preserve">T15</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1A1A1A"/>
                <w:sz w:val="18"/>
                <w:szCs w:val="18"/>
              </w:rPr>
              <w:t xml:space="preserve">Contribution Module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bCs/>
                <w:color w:val="1A1A1A"/>
                <w:sz w:val="18"/>
                <w:szCs w:val="18"/>
              </w:rPr>
              <w:t xml:space="preserve">Record contribution API + event</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1A1A1A"/>
                <w:sz w:val="18"/>
                <w:szCs w:val="18"/>
              </w:rPr>
              <w:t xml:space="preserve">Build the record-contribution endpoint (validates active + KYC-verified member, positive amount) and publish ContributionMadeEvent.</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bCs/>
                <w:color w:val="1A1A1A"/>
                <w:sz w:val="18"/>
                <w:szCs w:val="18"/>
              </w:rPr>
              <w:t xml:space="preserve">T16</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1A1A1A"/>
                <w:sz w:val="18"/>
                <w:szCs w:val="18"/>
              </w:rPr>
              <w:t xml:space="preserve">Contribution Module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bCs/>
                <w:color w:val="1A1A1A"/>
                <w:sz w:val="18"/>
                <w:szCs w:val="18"/>
              </w:rPr>
              <w:t xml:space="preserve">Contribution history &amp; member summary API</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1A1A1A"/>
                <w:sz w:val="18"/>
                <w:szCs w:val="18"/>
              </w:rPr>
              <w:t xml:space="preserve">Build endpoints returning a member's contribution history and running total.</w:t>
            </w:r>
          </w:p>
        </w:tc>
      </w:tr>
      <w:tr>
        <w:tc>
          <w:tcPr>
            <w:tcW w:type="dxa" w:w="600"/>
            <w:tcBorders>
              <w:top w:val="single" w:color="CCCCCC" w:sz="1"/>
              <w:left w:val="single" w:color="CCCCCC" w:sz="1"/>
              <w:bottom w:val="single" w:color="CCCCCC" w:sz="1"/>
              <w:right w:val="single" w:color="CCCCCC" w:sz="1"/>
            </w:tcBorders>
            <w:shd w:fill="F4F2EA" w:val="clear"/>
            <w:tcMar>
              <w:top w:type="dxa" w:w="80"/>
              <w:left w:type="dxa" w:w="120"/>
              <w:bottom w:type="dxa" w:w="80"/>
              <w:right w:type="dxa" w:w="120"/>
            </w:tcMar>
            <w:vAlign w:val="top"/>
          </w:tcPr>
          <w:p>
            <w:pPr>
              <w:jc w:val="left"/>
            </w:pPr>
            <w:r>
              <w:rPr>
                <w:b/>
                <w:bCs/>
                <w:color w:val="1A1A1A"/>
                <w:sz w:val="18"/>
                <w:szCs w:val="18"/>
              </w:rPr>
              <w:t xml:space="preserve">T17</w:t>
            </w:r>
          </w:p>
        </w:tc>
        <w:tc>
          <w:tcPr>
            <w:tcW w:type="dxa" w:w="1900"/>
            <w:tcBorders>
              <w:top w:val="single" w:color="CCCCCC" w:sz="1"/>
              <w:left w:val="single" w:color="CCCCCC" w:sz="1"/>
              <w:bottom w:val="single" w:color="CCCCCC" w:sz="1"/>
              <w:right w:val="single" w:color="CCCCCC" w:sz="1"/>
            </w:tcBorders>
            <w:shd w:fill="F4F2EA" w:val="clear"/>
            <w:tcMar>
              <w:top w:type="dxa" w:w="80"/>
              <w:left w:type="dxa" w:w="120"/>
              <w:bottom w:type="dxa" w:w="80"/>
              <w:right w:type="dxa" w:w="120"/>
            </w:tcMar>
            <w:vAlign w:val="top"/>
          </w:tcPr>
          <w:p>
            <w:pPr>
              <w:jc w:val="left"/>
            </w:pPr>
            <w:r>
              <w:rPr>
                <w:b w:val="false"/>
                <w:bCs w:val="false"/>
                <w:color w:val="1A1A1A"/>
                <w:sz w:val="18"/>
                <w:szCs w:val="18"/>
              </w:rPr>
              <w:t xml:space="preserve">Loan Module</w:t>
            </w:r>
          </w:p>
        </w:tc>
        <w:tc>
          <w:tcPr>
            <w:tcW w:type="dxa" w:w="2360"/>
            <w:tcBorders>
              <w:top w:val="single" w:color="CCCCCC" w:sz="1"/>
              <w:left w:val="single" w:color="CCCCCC" w:sz="1"/>
              <w:bottom w:val="single" w:color="CCCCCC" w:sz="1"/>
              <w:right w:val="single" w:color="CCCCCC" w:sz="1"/>
            </w:tcBorders>
            <w:shd w:fill="F4F2EA" w:val="clear"/>
            <w:tcMar>
              <w:top w:type="dxa" w:w="80"/>
              <w:left w:type="dxa" w:w="120"/>
              <w:bottom w:type="dxa" w:w="80"/>
              <w:right w:type="dxa" w:w="120"/>
            </w:tcMar>
            <w:vAlign w:val="top"/>
          </w:tcPr>
          <w:p>
            <w:pPr>
              <w:jc w:val="left"/>
            </w:pPr>
            <w:r>
              <w:rPr>
                <w:b/>
                <w:bCs/>
                <w:color w:val="1A1A1A"/>
                <w:sz w:val="18"/>
                <w:szCs w:val="18"/>
              </w:rPr>
              <w:t xml:space="preserve">LoanRequest entity &amp; submit API</w:t>
            </w:r>
          </w:p>
        </w:tc>
        <w:tc>
          <w:tcPr>
            <w:tcW w:type="dxa" w:w="4500"/>
            <w:tcBorders>
              <w:top w:val="single" w:color="CCCCCC" w:sz="1"/>
              <w:left w:val="single" w:color="CCCCCC" w:sz="1"/>
              <w:bottom w:val="single" w:color="CCCCCC" w:sz="1"/>
              <w:right w:val="single" w:color="CCCCCC" w:sz="1"/>
            </w:tcBorders>
            <w:shd w:fill="F4F2EA" w:val="clear"/>
            <w:tcMar>
              <w:top w:type="dxa" w:w="80"/>
              <w:left w:type="dxa" w:w="120"/>
              <w:bottom w:type="dxa" w:w="80"/>
              <w:right w:type="dxa" w:w="120"/>
            </w:tcMar>
            <w:vAlign w:val="top"/>
          </w:tcPr>
          <w:p>
            <w:pPr>
              <w:jc w:val="left"/>
            </w:pPr>
            <w:r>
              <w:rPr>
                <w:b w:val="false"/>
                <w:bCs w:val="false"/>
                <w:color w:val="1A1A1A"/>
                <w:sz w:val="18"/>
                <w:szCs w:val="18"/>
              </w:rPr>
              <w:t xml:space="preserve">Create the LoanRequest entity, repository, migration, and the submit-loan-request endpoint.</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bCs/>
                <w:color w:val="1A1A1A"/>
                <w:sz w:val="18"/>
                <w:szCs w:val="18"/>
              </w:rPr>
              <w:t xml:space="preserve">T18</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1A1A1A"/>
                <w:sz w:val="18"/>
                <w:szCs w:val="18"/>
              </w:rPr>
              <w:t xml:space="preserve">Loan Module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bCs/>
                <w:color w:val="1A1A1A"/>
                <w:sz w:val="18"/>
                <w:szCs w:val="18"/>
              </w:rPr>
              <w:t xml:space="preserve">Loan entity, repository &amp; migration</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1A1A1A"/>
                <w:sz w:val="18"/>
                <w:szCs w:val="18"/>
              </w:rPr>
              <w:t xml:space="preserve">Create the Loan entity, repository, and migration.</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bCs/>
                <w:color w:val="1A1A1A"/>
                <w:sz w:val="18"/>
                <w:szCs w:val="18"/>
              </w:rPr>
              <w:t xml:space="preserve">T19</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1A1A1A"/>
                <w:sz w:val="18"/>
                <w:szCs w:val="18"/>
              </w:rPr>
              <w:t xml:space="preserve">Loan Module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bCs/>
                <w:color w:val="1A1A1A"/>
                <w:sz w:val="18"/>
                <w:szCs w:val="18"/>
              </w:rPr>
              <w:t xml:space="preserve">LoanGuarantor entity &amp; add-guarantor API</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1A1A1A"/>
                <w:sz w:val="18"/>
                <w:szCs w:val="18"/>
              </w:rPr>
              <w:t xml:space="preserve">Create the LoanGuarantor entity and the add-guarantor endpoint, enforcing the minimum-guarantors-per-loan rule.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bCs/>
                <w:color w:val="1A1A1A"/>
                <w:sz w:val="18"/>
                <w:szCs w:val="18"/>
              </w:rPr>
              <w:t xml:space="preserve">T20</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1A1A1A"/>
                <w:sz w:val="18"/>
                <w:szCs w:val="18"/>
              </w:rPr>
              <w:t xml:space="preserve">Loan Module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bCs/>
                <w:color w:val="1A1A1A"/>
                <w:sz w:val="18"/>
                <w:szCs w:val="18"/>
              </w:rPr>
              <w:t xml:space="preserve">Guarantor accept/decline workflow + event</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1A1A1A"/>
                <w:sz w:val="18"/>
                <w:szCs w:val="18"/>
              </w:rPr>
              <w:t xml:space="preserve">Build the accept/decline endpoints for a guarantor and publish GuarantorInvitedEvent when a guarantor is added.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bCs/>
                <w:color w:val="1A1A1A"/>
                <w:sz w:val="18"/>
                <w:szCs w:val="18"/>
              </w:rPr>
              <w:t xml:space="preserve">T21</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1A1A1A"/>
                <w:sz w:val="18"/>
                <w:szCs w:val="18"/>
              </w:rPr>
              <w:t xml:space="preserve">Loan Module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bCs/>
                <w:color w:val="1A1A1A"/>
                <w:sz w:val="18"/>
                <w:szCs w:val="18"/>
              </w:rPr>
              <w:t xml:space="preserve">Available-guarantors &amp; guarantor-invites APIs</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1A1A1A"/>
                <w:sz w:val="18"/>
                <w:szCs w:val="18"/>
              </w:rPr>
              <w:t xml:space="preserve">Build the endpoint listing members a loanee can choose as guarantors (with credibility scores) and the endpoint listing pending invites for a prospective guarantor (with the requester's risk score).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bCs/>
                <w:color w:val="1A1A1A"/>
                <w:sz w:val="18"/>
                <w:szCs w:val="18"/>
              </w:rPr>
              <w:t xml:space="preserve">T22</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1A1A1A"/>
                <w:sz w:val="18"/>
                <w:szCs w:val="18"/>
              </w:rPr>
              <w:t xml:space="preserve">Loan Module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bCs/>
                <w:color w:val="1A1A1A"/>
                <w:sz w:val="18"/>
                <w:szCs w:val="18"/>
              </w:rPr>
              <w:t xml:space="preserve">LoanInstallment entity &amp; schedule generation</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1A1A1A"/>
                <w:sz w:val="18"/>
                <w:szCs w:val="18"/>
              </w:rPr>
              <w:t xml:space="preserve">Create the LoanInstallment entity and generate the repayment schedule at disbursement time.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bCs/>
                <w:color w:val="1A1A1A"/>
                <w:sz w:val="18"/>
                <w:szCs w:val="18"/>
              </w:rPr>
              <w:t xml:space="preserve">T23</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1A1A1A"/>
                <w:sz w:val="18"/>
                <w:szCs w:val="18"/>
              </w:rPr>
              <w:t xml:space="preserve">Loan Module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bCs/>
                <w:color w:val="1A1A1A"/>
                <w:sz w:val="18"/>
                <w:szCs w:val="18"/>
              </w:rPr>
              <w:t xml:space="preserve">Loan approval workflow + event</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1A1A1A"/>
                <w:sz w:val="18"/>
                <w:szCs w:val="18"/>
              </w:rPr>
              <w:t xml:space="preserve">Build the officer approve/reject workflow, including the risk/credibility gate checks, and publish LoanApprovedEvent on approval.</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bCs/>
                <w:color w:val="1A1A1A"/>
                <w:sz w:val="18"/>
                <w:szCs w:val="18"/>
              </w:rPr>
              <w:t xml:space="preserve">T24</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1A1A1A"/>
                <w:sz w:val="18"/>
                <w:szCs w:val="18"/>
              </w:rPr>
              <w:t xml:space="preserve">Loan Module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bCs/>
                <w:color w:val="1A1A1A"/>
                <w:sz w:val="18"/>
                <w:szCs w:val="18"/>
              </w:rPr>
              <w:t xml:space="preserve">Scheduled job: installment due-date sweep</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1A1A1A"/>
                <w:sz w:val="18"/>
                <w:szCs w:val="18"/>
              </w:rPr>
              <w:t xml:space="preserve">Build the daily job that compares installment due dates against today and marks overdue installments LATE.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bCs/>
                <w:color w:val="1A1A1A"/>
                <w:sz w:val="18"/>
                <w:szCs w:val="18"/>
              </w:rPr>
              <w:t xml:space="preserve">T25</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1A1A1A"/>
                <w:sz w:val="18"/>
                <w:szCs w:val="18"/>
              </w:rPr>
              <w:t xml:space="preserve">Loan Module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bCs/>
                <w:color w:val="1A1A1A"/>
                <w:sz w:val="18"/>
                <w:szCs w:val="18"/>
              </w:rPr>
              <w:t xml:space="preserve">Default detection &amp; guarantor liability assignment</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1A1A1A"/>
                <w:sz w:val="18"/>
                <w:szCs w:val="18"/>
              </w:rPr>
              <w:t xml:space="preserve">Detect default after N consecutive LATE installments, split the outstanding balance into GuarantorLiability records across accepted guarantors, and publish LoanDefaultedEvent.</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bCs/>
                <w:color w:val="1A1A1A"/>
                <w:sz w:val="18"/>
                <w:szCs w:val="18"/>
              </w:rPr>
              <w:t xml:space="preserve">T26</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1A1A1A"/>
                <w:sz w:val="18"/>
                <w:szCs w:val="18"/>
              </w:rPr>
              <w:t xml:space="preserve">Loan Module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bCs/>
                <w:color w:val="1A1A1A"/>
                <w:sz w:val="18"/>
                <w:szCs w:val="18"/>
              </w:rPr>
              <w:t xml:space="preserve">Borrower risk profile projection</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1A1A1A"/>
                <w:sz w:val="18"/>
                <w:szCs w:val="18"/>
              </w:rPr>
              <w:t xml:space="preserve">Build the event listeners and query that maintain each borrower's risk profile (loan count, defaults, late payments, risk tier).</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bCs/>
                <w:color w:val="1A1A1A"/>
                <w:sz w:val="18"/>
                <w:szCs w:val="18"/>
              </w:rPr>
              <w:t xml:space="preserve">T27</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1A1A1A"/>
                <w:sz w:val="18"/>
                <w:szCs w:val="18"/>
              </w:rPr>
              <w:t xml:space="preserve">Loan Module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bCs/>
                <w:color w:val="1A1A1A"/>
                <w:sz w:val="18"/>
                <w:szCs w:val="18"/>
              </w:rPr>
              <w:t xml:space="preserve">Guarantor credibility profile projection</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1A1A1A"/>
                <w:sz w:val="18"/>
                <w:szCs w:val="18"/>
              </w:rPr>
              <w:t xml:space="preserve">Build the event listeners and query that maintain each guarantor's credibility profile (times guaranteed, loans gone bad, credibility score).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bCs/>
                <w:color w:val="1A1A1A"/>
                <w:sz w:val="18"/>
                <w:szCs w:val="18"/>
              </w:rPr>
              <w:t xml:space="preserve">T28</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1A1A1A"/>
                <w:sz w:val="18"/>
                <w:szCs w:val="18"/>
              </w:rPr>
              <w:t xml:space="preserve">Loan Module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bCs/>
                <w:color w:val="1A1A1A"/>
                <w:sz w:val="18"/>
                <w:szCs w:val="18"/>
              </w:rPr>
              <w:t xml:space="preserve">Loan status tracking &amp; disbursement API</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1A1A1A"/>
                <w:sz w:val="18"/>
                <w:szCs w:val="18"/>
              </w:rPr>
              <w:t xml:space="preserve">Build endpoints for tracking loan status, schedule, and outstanding balance.</w:t>
            </w:r>
          </w:p>
        </w:tc>
      </w:tr>
      <w:tr>
        <w:tc>
          <w:tcPr>
            <w:tcW w:type="dxa" w:w="600"/>
            <w:tcBorders>
              <w:top w:val="single" w:color="CCCCCC" w:sz="1"/>
              <w:left w:val="single" w:color="CCCCCC" w:sz="1"/>
              <w:bottom w:val="single" w:color="CCCCCC" w:sz="1"/>
              <w:right w:val="single" w:color="CCCCCC" w:sz="1"/>
            </w:tcBorders>
            <w:shd w:fill="F4F2EA" w:val="clear"/>
            <w:tcMar>
              <w:top w:type="dxa" w:w="80"/>
              <w:left w:type="dxa" w:w="120"/>
              <w:bottom w:type="dxa" w:w="80"/>
              <w:right w:type="dxa" w:w="120"/>
            </w:tcMar>
            <w:vAlign w:val="top"/>
          </w:tcPr>
          <w:p>
            <w:pPr>
              <w:jc w:val="left"/>
            </w:pPr>
            <w:r>
              <w:rPr>
                <w:b/>
                <w:bCs/>
                <w:color w:val="1A1A1A"/>
                <w:sz w:val="18"/>
                <w:szCs w:val="18"/>
              </w:rPr>
              <w:t xml:space="preserve">T29</w:t>
            </w:r>
          </w:p>
        </w:tc>
        <w:tc>
          <w:tcPr>
            <w:tcW w:type="dxa" w:w="1900"/>
            <w:tcBorders>
              <w:top w:val="single" w:color="CCCCCC" w:sz="1"/>
              <w:left w:val="single" w:color="CCCCCC" w:sz="1"/>
              <w:bottom w:val="single" w:color="CCCCCC" w:sz="1"/>
              <w:right w:val="single" w:color="CCCCCC" w:sz="1"/>
            </w:tcBorders>
            <w:shd w:fill="F4F2EA" w:val="clear"/>
            <w:tcMar>
              <w:top w:type="dxa" w:w="80"/>
              <w:left w:type="dxa" w:w="120"/>
              <w:bottom w:type="dxa" w:w="80"/>
              <w:right w:type="dxa" w:w="120"/>
            </w:tcMar>
            <w:vAlign w:val="top"/>
          </w:tcPr>
          <w:p>
            <w:pPr>
              <w:jc w:val="left"/>
            </w:pPr>
            <w:r>
              <w:rPr>
                <w:b w:val="false"/>
                <w:bCs w:val="false"/>
                <w:color w:val="1A1A1A"/>
                <w:sz w:val="18"/>
                <w:szCs w:val="18"/>
              </w:rPr>
              <w:t xml:space="preserve">Repayment Module</w:t>
            </w:r>
          </w:p>
        </w:tc>
        <w:tc>
          <w:tcPr>
            <w:tcW w:type="dxa" w:w="2360"/>
            <w:tcBorders>
              <w:top w:val="single" w:color="CCCCCC" w:sz="1"/>
              <w:left w:val="single" w:color="CCCCCC" w:sz="1"/>
              <w:bottom w:val="single" w:color="CCCCCC" w:sz="1"/>
              <w:right w:val="single" w:color="CCCCCC" w:sz="1"/>
            </w:tcBorders>
            <w:shd w:fill="F4F2EA" w:val="clear"/>
            <w:tcMar>
              <w:top w:type="dxa" w:w="80"/>
              <w:left w:type="dxa" w:w="120"/>
              <w:bottom w:type="dxa" w:w="80"/>
              <w:right w:type="dxa" w:w="120"/>
            </w:tcMar>
            <w:vAlign w:val="top"/>
          </w:tcPr>
          <w:p>
            <w:pPr>
              <w:jc w:val="left"/>
            </w:pPr>
            <w:r>
              <w:rPr>
                <w:b/>
                <w:bCs/>
                <w:color w:val="1A1A1A"/>
                <w:sz w:val="18"/>
                <w:szCs w:val="18"/>
              </w:rPr>
              <w:t xml:space="preserve">Repayment entity, repository &amp; migration</w:t>
            </w:r>
          </w:p>
        </w:tc>
        <w:tc>
          <w:tcPr>
            <w:tcW w:type="dxa" w:w="4500"/>
            <w:tcBorders>
              <w:top w:val="single" w:color="CCCCCC" w:sz="1"/>
              <w:left w:val="single" w:color="CCCCCC" w:sz="1"/>
              <w:bottom w:val="single" w:color="CCCCCC" w:sz="1"/>
              <w:right w:val="single" w:color="CCCCCC" w:sz="1"/>
            </w:tcBorders>
            <w:shd w:fill="F4F2EA" w:val="clear"/>
            <w:tcMar>
              <w:top w:type="dxa" w:w="80"/>
              <w:left w:type="dxa" w:w="120"/>
              <w:bottom w:type="dxa" w:w="80"/>
              <w:right w:type="dxa" w:w="120"/>
            </w:tcMar>
            <w:vAlign w:val="top"/>
          </w:tcPr>
          <w:p>
            <w:pPr>
              <w:jc w:val="left"/>
            </w:pPr>
            <w:r>
              <w:rPr>
                <w:b w:val="false"/>
                <w:bCs w:val="false"/>
                <w:color w:val="1A1A1A"/>
                <w:sz w:val="18"/>
                <w:szCs w:val="18"/>
              </w:rPr>
              <w:t xml:space="preserve">Create the Repayment entity (with payerMemberId and nullable liabilityId), repository, and migration.</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bCs/>
                <w:color w:val="1A1A1A"/>
                <w:sz w:val="18"/>
                <w:szCs w:val="18"/>
              </w:rPr>
              <w:t xml:space="preserve">T30</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1A1A1A"/>
                <w:sz w:val="18"/>
                <w:szCs w:val="18"/>
              </w:rPr>
              <w:t xml:space="preserve">Repayment Module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bCs/>
                <w:color w:val="1A1A1A"/>
                <w:sz w:val="18"/>
                <w:szCs w:val="18"/>
              </w:rPr>
              <w:t xml:space="preserve">Record borrower repayment API + event</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1A1A1A"/>
                <w:sz w:val="18"/>
                <w:szCs w:val="18"/>
              </w:rPr>
              <w:t xml:space="preserve">Build the record-repayment endpoint (validates active loan, positive amount) and publish RepaymentMadeEvent.</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bCs/>
                <w:color w:val="1A1A1A"/>
                <w:sz w:val="18"/>
                <w:szCs w:val="18"/>
              </w:rPr>
              <w:t xml:space="preserve">T31</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1A1A1A"/>
                <w:sz w:val="18"/>
                <w:szCs w:val="18"/>
              </w:rPr>
              <w:t xml:space="preserve">Repayment Module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bCs/>
                <w:color w:val="1A1A1A"/>
                <w:sz w:val="18"/>
                <w:szCs w:val="18"/>
              </w:rPr>
              <w:t xml:space="preserve">Record guarantor liability repayment API</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1A1A1A"/>
                <w:sz w:val="18"/>
                <w:szCs w:val="18"/>
              </w:rPr>
              <w:t xml:space="preserve">Build the endpoint for a guarantor to pay down an assigned GuarantorLiability, reusing the same Repayment record shape and event.</w:t>
            </w:r>
          </w:p>
        </w:tc>
      </w:tr>
      <w:tr>
        <w:tc>
          <w:tcPr>
            <w:tcW w:type="dxa" w:w="600"/>
            <w:tcBorders>
              <w:top w:val="single" w:color="CCCCCC" w:sz="1"/>
              <w:left w:val="single" w:color="CCCCCC" w:sz="1"/>
              <w:bottom w:val="single" w:color="CCCCCC" w:sz="1"/>
              <w:right w:val="single" w:color="CCCCCC" w:sz="1"/>
            </w:tcBorders>
            <w:shd w:fill="F4F2EA" w:val="clear"/>
            <w:tcMar>
              <w:top w:type="dxa" w:w="80"/>
              <w:left w:type="dxa" w:w="120"/>
              <w:bottom w:type="dxa" w:w="80"/>
              <w:right w:type="dxa" w:w="120"/>
            </w:tcMar>
            <w:vAlign w:val="top"/>
          </w:tcPr>
          <w:p>
            <w:pPr>
              <w:jc w:val="left"/>
            </w:pPr>
            <w:r>
              <w:rPr>
                <w:b/>
                <w:bCs/>
                <w:color w:val="1A1A1A"/>
                <w:sz w:val="18"/>
                <w:szCs w:val="18"/>
              </w:rPr>
              <w:t xml:space="preserve">T32</w:t>
            </w:r>
          </w:p>
        </w:tc>
        <w:tc>
          <w:tcPr>
            <w:tcW w:type="dxa" w:w="1900"/>
            <w:tcBorders>
              <w:top w:val="single" w:color="CCCCCC" w:sz="1"/>
              <w:left w:val="single" w:color="CCCCCC" w:sz="1"/>
              <w:bottom w:val="single" w:color="CCCCCC" w:sz="1"/>
              <w:right w:val="single" w:color="CCCCCC" w:sz="1"/>
            </w:tcBorders>
            <w:shd w:fill="F4F2EA" w:val="clear"/>
            <w:tcMar>
              <w:top w:type="dxa" w:w="80"/>
              <w:left w:type="dxa" w:w="120"/>
              <w:bottom w:type="dxa" w:w="80"/>
              <w:right w:type="dxa" w:w="120"/>
            </w:tcMar>
            <w:vAlign w:val="top"/>
          </w:tcPr>
          <w:p>
            <w:pPr>
              <w:jc w:val="left"/>
            </w:pPr>
            <w:r>
              <w:rPr>
                <w:b w:val="false"/>
                <w:bCs w:val="false"/>
                <w:color w:val="1A1A1A"/>
                <w:sz w:val="18"/>
                <w:szCs w:val="18"/>
              </w:rPr>
              <w:t xml:space="preserve">Accounting Module (Ledger)</w:t>
            </w:r>
          </w:p>
        </w:tc>
        <w:tc>
          <w:tcPr>
            <w:tcW w:type="dxa" w:w="2360"/>
            <w:tcBorders>
              <w:top w:val="single" w:color="CCCCCC" w:sz="1"/>
              <w:left w:val="single" w:color="CCCCCC" w:sz="1"/>
              <w:bottom w:val="single" w:color="CCCCCC" w:sz="1"/>
              <w:right w:val="single" w:color="CCCCCC" w:sz="1"/>
            </w:tcBorders>
            <w:shd w:fill="F4F2EA" w:val="clear"/>
            <w:tcMar>
              <w:top w:type="dxa" w:w="80"/>
              <w:left w:type="dxa" w:w="120"/>
              <w:bottom w:type="dxa" w:w="80"/>
              <w:right w:type="dxa" w:w="120"/>
            </w:tcMar>
            <w:vAlign w:val="top"/>
          </w:tcPr>
          <w:p>
            <w:pPr>
              <w:jc w:val="left"/>
            </w:pPr>
            <w:r>
              <w:rPr>
                <w:b/>
                <w:bCs/>
                <w:color w:val="1A1A1A"/>
                <w:sz w:val="18"/>
                <w:szCs w:val="18"/>
              </w:rPr>
              <w:t xml:space="preserve">LedgerAccount &amp; LedgerEntry entities + chart of accounts</w:t>
            </w:r>
          </w:p>
        </w:tc>
        <w:tc>
          <w:tcPr>
            <w:tcW w:type="dxa" w:w="4500"/>
            <w:tcBorders>
              <w:top w:val="single" w:color="CCCCCC" w:sz="1"/>
              <w:left w:val="single" w:color="CCCCCC" w:sz="1"/>
              <w:bottom w:val="single" w:color="CCCCCC" w:sz="1"/>
              <w:right w:val="single" w:color="CCCCCC" w:sz="1"/>
            </w:tcBorders>
            <w:shd w:fill="F4F2EA" w:val="clear"/>
            <w:tcMar>
              <w:top w:type="dxa" w:w="80"/>
              <w:left w:type="dxa" w:w="120"/>
              <w:bottom w:type="dxa" w:w="80"/>
              <w:right w:type="dxa" w:w="120"/>
            </w:tcMar>
            <w:vAlign w:val="top"/>
          </w:tcPr>
          <w:p>
            <w:pPr>
              <w:jc w:val="left"/>
            </w:pPr>
            <w:r>
              <w:rPr>
                <w:b w:val="false"/>
                <w:bCs w:val="false"/>
                <w:color w:val="1A1A1A"/>
                <w:sz w:val="18"/>
                <w:szCs w:val="18"/>
              </w:rPr>
              <w:t xml:space="preserve">Create the LedgerAccount and LedgerEntry entities, repositories, migrations, and seed the chart of accounts (including Penalty Income and Guarantor Receivable).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bCs/>
                <w:color w:val="1A1A1A"/>
                <w:sz w:val="18"/>
                <w:szCs w:val="18"/>
              </w:rPr>
              <w:t xml:space="preserve">T33</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1A1A1A"/>
                <w:sz w:val="18"/>
                <w:szCs w:val="18"/>
              </w:rPr>
              <w:t xml:space="preserve">Accounting Module (Ledger)</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bCs/>
                <w:color w:val="1A1A1A"/>
                <w:sz w:val="18"/>
                <w:szCs w:val="18"/>
              </w:rPr>
              <w:t xml:space="preserve">Event listener: contribution → journal entry</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1A1A1A"/>
                <w:sz w:val="18"/>
                <w:szCs w:val="18"/>
              </w:rPr>
              <w:t xml:space="preserve">Listen for ContributionMadeEvent and post the fund-posting journal entry.</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bCs/>
                <w:color w:val="1A1A1A"/>
                <w:sz w:val="18"/>
                <w:szCs w:val="18"/>
              </w:rPr>
              <w:t xml:space="preserve">T34</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1A1A1A"/>
                <w:sz w:val="18"/>
                <w:szCs w:val="18"/>
              </w:rPr>
              <w:t xml:space="preserve">Accounting Module (Ledger)</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bCs/>
                <w:color w:val="1A1A1A"/>
                <w:sz w:val="18"/>
                <w:szCs w:val="18"/>
              </w:rPr>
              <w:t xml:space="preserve">Event listener: loan disbursement → journal entry</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1A1A1A"/>
                <w:sz w:val="18"/>
                <w:szCs w:val="18"/>
              </w:rPr>
              <w:t xml:space="preserve">Listen for LoanApprovedEvent and post the disbursement journal entry.</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bCs/>
                <w:color w:val="1A1A1A"/>
                <w:sz w:val="18"/>
                <w:szCs w:val="18"/>
              </w:rPr>
              <w:t xml:space="preserve">T35</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1A1A1A"/>
                <w:sz w:val="18"/>
                <w:szCs w:val="18"/>
              </w:rPr>
              <w:t xml:space="preserve">Accounting Module (Ledger)</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bCs/>
                <w:color w:val="1A1A1A"/>
                <w:sz w:val="18"/>
                <w:szCs w:val="18"/>
              </w:rPr>
              <w:t xml:space="preserve">Event listener: repayment → journal entry</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1A1A1A"/>
                <w:sz w:val="18"/>
                <w:szCs w:val="18"/>
              </w:rPr>
              <w:t xml:space="preserve">Listen for RepaymentMadeEvent and post the repayment journal entry, branching on whether it's a borrower or guarantor-liability payment.</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bCs/>
                <w:color w:val="1A1A1A"/>
                <w:sz w:val="18"/>
                <w:szCs w:val="18"/>
              </w:rPr>
              <w:t xml:space="preserve">T36</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1A1A1A"/>
                <w:sz w:val="18"/>
                <w:szCs w:val="18"/>
              </w:rPr>
              <w:t xml:space="preserve">Accounting Module (Ledger)</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bCs/>
                <w:color w:val="1A1A1A"/>
                <w:sz w:val="18"/>
                <w:szCs w:val="18"/>
              </w:rPr>
              <w:t xml:space="preserve">Event listener: default → liability transfer &amp; penalty posting</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1A1A1A"/>
                <w:sz w:val="18"/>
                <w:szCs w:val="18"/>
              </w:rPr>
              <w:t xml:space="preserve">Listen for LoanDefaultedEvent and post the guarantor receivable transfer for each liability plus the borrower's penalty entry.</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bCs/>
                <w:color w:val="1A1A1A"/>
                <w:sz w:val="18"/>
                <w:szCs w:val="18"/>
              </w:rPr>
              <w:t xml:space="preserve">T37</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1A1A1A"/>
                <w:sz w:val="18"/>
                <w:szCs w:val="18"/>
              </w:rPr>
              <w:t xml:space="preserve">Accounting Module (Ledger)</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bCs/>
                <w:color w:val="1A1A1A"/>
                <w:sz w:val="18"/>
                <w:szCs w:val="18"/>
              </w:rPr>
              <w:t xml:space="preserve">Trial balance &amp; account balance query API</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1A1A1A"/>
                <w:sz w:val="18"/>
                <w:szCs w:val="18"/>
              </w:rPr>
              <w:t xml:space="preserve">Build read endpoints for account balances and a trial balance report.</w:t>
            </w:r>
          </w:p>
        </w:tc>
      </w:tr>
      <w:tr>
        <w:tc>
          <w:tcPr>
            <w:tcW w:type="dxa" w:w="600"/>
            <w:tcBorders>
              <w:top w:val="single" w:color="CCCCCC" w:sz="1"/>
              <w:left w:val="single" w:color="CCCCCC" w:sz="1"/>
              <w:bottom w:val="single" w:color="CCCCCC" w:sz="1"/>
              <w:right w:val="single" w:color="CCCCCC" w:sz="1"/>
            </w:tcBorders>
            <w:shd w:fill="F4F2EA" w:val="clear"/>
            <w:tcMar>
              <w:top w:type="dxa" w:w="80"/>
              <w:left w:type="dxa" w:w="120"/>
              <w:bottom w:type="dxa" w:w="80"/>
              <w:right w:type="dxa" w:w="120"/>
            </w:tcMar>
            <w:vAlign w:val="top"/>
          </w:tcPr>
          <w:p>
            <w:pPr>
              <w:jc w:val="left"/>
            </w:pPr>
            <w:r>
              <w:rPr>
                <w:b/>
                <w:bCs/>
                <w:color w:val="1A1A1A"/>
                <w:sz w:val="18"/>
                <w:szCs w:val="18"/>
              </w:rPr>
              <w:t xml:space="preserve">T38</w:t>
            </w:r>
          </w:p>
        </w:tc>
        <w:tc>
          <w:tcPr>
            <w:tcW w:type="dxa" w:w="1900"/>
            <w:tcBorders>
              <w:top w:val="single" w:color="CCCCCC" w:sz="1"/>
              <w:left w:val="single" w:color="CCCCCC" w:sz="1"/>
              <w:bottom w:val="single" w:color="CCCCCC" w:sz="1"/>
              <w:right w:val="single" w:color="CCCCCC" w:sz="1"/>
            </w:tcBorders>
            <w:shd w:fill="F4F2EA" w:val="clear"/>
            <w:tcMar>
              <w:top w:type="dxa" w:w="80"/>
              <w:left w:type="dxa" w:w="120"/>
              <w:bottom w:type="dxa" w:w="80"/>
              <w:right w:type="dxa" w:w="120"/>
            </w:tcMar>
            <w:vAlign w:val="top"/>
          </w:tcPr>
          <w:p>
            <w:pPr>
              <w:jc w:val="left"/>
            </w:pPr>
            <w:r>
              <w:rPr>
                <w:b w:val="false"/>
                <w:bCs w:val="false"/>
                <w:color w:val="1A1A1A"/>
                <w:sz w:val="18"/>
                <w:szCs w:val="18"/>
              </w:rPr>
              <w:t xml:space="preserve">Reporting Module</w:t>
            </w:r>
          </w:p>
        </w:tc>
        <w:tc>
          <w:tcPr>
            <w:tcW w:type="dxa" w:w="2360"/>
            <w:tcBorders>
              <w:top w:val="single" w:color="CCCCCC" w:sz="1"/>
              <w:left w:val="single" w:color="CCCCCC" w:sz="1"/>
              <w:bottom w:val="single" w:color="CCCCCC" w:sz="1"/>
              <w:right w:val="single" w:color="CCCCCC" w:sz="1"/>
            </w:tcBorders>
            <w:shd w:fill="F4F2EA" w:val="clear"/>
            <w:tcMar>
              <w:top w:type="dxa" w:w="80"/>
              <w:left w:type="dxa" w:w="120"/>
              <w:bottom w:type="dxa" w:w="80"/>
              <w:right w:type="dxa" w:w="120"/>
            </w:tcMar>
            <w:vAlign w:val="top"/>
          </w:tcPr>
          <w:p>
            <w:pPr>
              <w:jc w:val="left"/>
            </w:pPr>
            <w:r>
              <w:rPr>
                <w:b/>
                <w:bCs/>
                <w:color w:val="1A1A1A"/>
                <w:sz w:val="18"/>
                <w:szCs w:val="18"/>
              </w:rPr>
              <w:t xml:space="preserve">Reporting projection tables &amp; migrations</w:t>
            </w:r>
          </w:p>
        </w:tc>
        <w:tc>
          <w:tcPr>
            <w:tcW w:type="dxa" w:w="4500"/>
            <w:tcBorders>
              <w:top w:val="single" w:color="CCCCCC" w:sz="1"/>
              <w:left w:val="single" w:color="CCCCCC" w:sz="1"/>
              <w:bottom w:val="single" w:color="CCCCCC" w:sz="1"/>
              <w:right w:val="single" w:color="CCCCCC" w:sz="1"/>
            </w:tcBorders>
            <w:shd w:fill="F4F2EA" w:val="clear"/>
            <w:tcMar>
              <w:top w:type="dxa" w:w="80"/>
              <w:left w:type="dxa" w:w="120"/>
              <w:bottom w:type="dxa" w:w="80"/>
              <w:right w:type="dxa" w:w="120"/>
            </w:tcMar>
            <w:vAlign w:val="top"/>
          </w:tcPr>
          <w:p>
            <w:pPr>
              <w:jc w:val="left"/>
            </w:pPr>
            <w:r>
              <w:rPr>
                <w:b w:val="false"/>
                <w:bCs w:val="false"/>
                <w:color w:val="1A1A1A"/>
                <w:sz w:val="18"/>
                <w:szCs w:val="18"/>
              </w:rPr>
              <w:t xml:space="preserve">Design and migrate the denormalized reporting tables.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bCs/>
                <w:color w:val="1A1A1A"/>
                <w:sz w:val="18"/>
                <w:szCs w:val="18"/>
              </w:rPr>
              <w:t xml:space="preserve">T39</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1A1A1A"/>
                <w:sz w:val="18"/>
                <w:szCs w:val="18"/>
              </w:rPr>
              <w:t xml:space="preserve">Reporting Module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bCs/>
                <w:color w:val="1A1A1A"/>
                <w:sz w:val="18"/>
                <w:szCs w:val="18"/>
              </w:rPr>
              <w:t xml:space="preserve">Event listeners updating projections</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1A1A1A"/>
                <w:sz w:val="18"/>
                <w:szCs w:val="18"/>
              </w:rPr>
              <w:t xml:space="preserve">Build the @TransactionalEventListener methods that keep the reporting tables in sync.</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bCs/>
                <w:color w:val="1A1A1A"/>
                <w:sz w:val="18"/>
                <w:szCs w:val="18"/>
              </w:rPr>
              <w:t xml:space="preserve">T40</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1A1A1A"/>
                <w:sz w:val="18"/>
                <w:szCs w:val="18"/>
              </w:rPr>
              <w:t xml:space="preserve">Reporting Module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bCs/>
                <w:color w:val="1A1A1A"/>
                <w:sz w:val="18"/>
                <w:szCs w:val="18"/>
              </w:rPr>
              <w:t xml:space="preserve">Dashboard &amp; report GET endpoints</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1A1A1A"/>
                <w:sz w:val="18"/>
                <w:szCs w:val="18"/>
              </w:rPr>
              <w:t xml:space="preserve">Build the read-only reporting endpoints.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bCs/>
                <w:color w:val="1A1A1A"/>
                <w:sz w:val="18"/>
                <w:szCs w:val="18"/>
              </w:rPr>
              <w:t xml:space="preserve">T41</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1A1A1A"/>
                <w:sz w:val="18"/>
                <w:szCs w:val="18"/>
              </w:rPr>
              <w:t xml:space="preserve">Reporting Module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bCs/>
                <w:color w:val="1A1A1A"/>
                <w:sz w:val="18"/>
                <w:szCs w:val="18"/>
              </w:rPr>
              <w:t xml:space="preserve">SSE stream endpoint for live dashboard push</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1A1A1A"/>
                <w:sz w:val="18"/>
                <w:szCs w:val="18"/>
              </w:rPr>
              <w:t xml:space="preserve">Build a Server-Sent Events endpoint and have the projection listeners push updates to it as they fire.</w:t>
            </w:r>
          </w:p>
        </w:tc>
      </w:tr>
      <w:tr>
        <w:tc>
          <w:tcPr>
            <w:tcW w:type="dxa" w:w="600"/>
            <w:tcBorders>
              <w:top w:val="single" w:color="CCCCCC" w:sz="1"/>
              <w:left w:val="single" w:color="CCCCCC" w:sz="1"/>
              <w:bottom w:val="single" w:color="CCCCCC" w:sz="1"/>
              <w:right w:val="single" w:color="CCCCCC" w:sz="1"/>
            </w:tcBorders>
            <w:shd w:fill="F4F2EA" w:val="clear"/>
            <w:tcMar>
              <w:top w:type="dxa" w:w="80"/>
              <w:left w:type="dxa" w:w="120"/>
              <w:bottom w:type="dxa" w:w="80"/>
              <w:right w:type="dxa" w:w="120"/>
            </w:tcMar>
            <w:vAlign w:val="top"/>
          </w:tcPr>
          <w:p>
            <w:pPr>
              <w:jc w:val="left"/>
            </w:pPr>
            <w:r>
              <w:rPr>
                <w:b/>
                <w:bCs/>
                <w:color w:val="1A1A1A"/>
                <w:sz w:val="18"/>
                <w:szCs w:val="18"/>
              </w:rPr>
              <w:t xml:space="preserve">T42</w:t>
            </w:r>
          </w:p>
        </w:tc>
        <w:tc>
          <w:tcPr>
            <w:tcW w:type="dxa" w:w="1900"/>
            <w:tcBorders>
              <w:top w:val="single" w:color="CCCCCC" w:sz="1"/>
              <w:left w:val="single" w:color="CCCCCC" w:sz="1"/>
              <w:bottom w:val="single" w:color="CCCCCC" w:sz="1"/>
              <w:right w:val="single" w:color="CCCCCC" w:sz="1"/>
            </w:tcBorders>
            <w:shd w:fill="F4F2EA" w:val="clear"/>
            <w:tcMar>
              <w:top w:type="dxa" w:w="80"/>
              <w:left w:type="dxa" w:w="120"/>
              <w:bottom w:type="dxa" w:w="80"/>
              <w:right w:type="dxa" w:w="120"/>
            </w:tcMar>
            <w:vAlign w:val="top"/>
          </w:tcPr>
          <w:p>
            <w:pPr>
              <w:jc w:val="left"/>
            </w:pPr>
            <w:r>
              <w:rPr>
                <w:b w:val="false"/>
                <w:bCs w:val="false"/>
                <w:color w:val="1A1A1A"/>
                <w:sz w:val="18"/>
                <w:szCs w:val="18"/>
              </w:rPr>
              <w:t xml:space="preserve">Notification Module</w:t>
            </w:r>
          </w:p>
        </w:tc>
        <w:tc>
          <w:tcPr>
            <w:tcW w:type="dxa" w:w="2360"/>
            <w:tcBorders>
              <w:top w:val="single" w:color="CCCCCC" w:sz="1"/>
              <w:left w:val="single" w:color="CCCCCC" w:sz="1"/>
              <w:bottom w:val="single" w:color="CCCCCC" w:sz="1"/>
              <w:right w:val="single" w:color="CCCCCC" w:sz="1"/>
            </w:tcBorders>
            <w:shd w:fill="F4F2EA" w:val="clear"/>
            <w:tcMar>
              <w:top w:type="dxa" w:w="80"/>
              <w:left w:type="dxa" w:w="120"/>
              <w:bottom w:type="dxa" w:w="80"/>
              <w:right w:type="dxa" w:w="120"/>
            </w:tcMar>
            <w:vAlign w:val="top"/>
          </w:tcPr>
          <w:p>
            <w:pPr>
              <w:jc w:val="left"/>
            </w:pPr>
            <w:r>
              <w:rPr>
                <w:b/>
                <w:bCs/>
                <w:color w:val="1A1A1A"/>
                <w:sz w:val="18"/>
                <w:szCs w:val="18"/>
              </w:rPr>
              <w:t xml:space="preserve">notification_log entity &amp; EmailSender interface</w:t>
            </w:r>
          </w:p>
        </w:tc>
        <w:tc>
          <w:tcPr>
            <w:tcW w:type="dxa" w:w="4500"/>
            <w:tcBorders>
              <w:top w:val="single" w:color="CCCCCC" w:sz="1"/>
              <w:left w:val="single" w:color="CCCCCC" w:sz="1"/>
              <w:bottom w:val="single" w:color="CCCCCC" w:sz="1"/>
              <w:right w:val="single" w:color="CCCCCC" w:sz="1"/>
            </w:tcBorders>
            <w:shd w:fill="F4F2EA" w:val="clear"/>
            <w:tcMar>
              <w:top w:type="dxa" w:w="80"/>
              <w:left w:type="dxa" w:w="120"/>
              <w:bottom w:type="dxa" w:w="80"/>
              <w:right w:type="dxa" w:w="120"/>
            </w:tcMar>
            <w:vAlign w:val="top"/>
          </w:tcPr>
          <w:p>
            <w:pPr>
              <w:jc w:val="left"/>
            </w:pPr>
            <w:r>
              <w:rPr>
                <w:b w:val="false"/>
                <w:bCs w:val="false"/>
                <w:color w:val="1A1A1A"/>
                <w:sz w:val="18"/>
                <w:szCs w:val="18"/>
              </w:rPr>
              <w:t xml:space="preserve">Create the notification log table and a provider-agnostic EmailSender interface.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bCs/>
                <w:color w:val="1A1A1A"/>
                <w:sz w:val="18"/>
                <w:szCs w:val="18"/>
              </w:rPr>
              <w:t xml:space="preserve">T43</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1A1A1A"/>
                <w:sz w:val="18"/>
                <w:szCs w:val="18"/>
              </w:rPr>
              <w:t xml:space="preserve">Notification Module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bCs/>
                <w:color w:val="1A1A1A"/>
                <w:sz w:val="18"/>
                <w:szCs w:val="18"/>
              </w:rPr>
              <w:t xml:space="preserve">Event listeners: approval, invite, repayment, default</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1A1A1A"/>
                <w:sz w:val="18"/>
                <w:szCs w:val="18"/>
              </w:rPr>
              <w:t xml:space="preserve">Build the listeners that turn LoanApprovedEvent, GuarantorInvitedEvent, RepaymentMadeEvent, and LoanDefaultedEvent into emails, wrapped in retry.</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bCs/>
                <w:color w:val="1A1A1A"/>
                <w:sz w:val="18"/>
                <w:szCs w:val="18"/>
              </w:rPr>
              <w:t xml:space="preserve">T44</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1A1A1A"/>
                <w:sz w:val="18"/>
                <w:szCs w:val="18"/>
              </w:rPr>
              <w:t xml:space="preserve">Notification Module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bCs/>
                <w:color w:val="1A1A1A"/>
                <w:sz w:val="18"/>
                <w:szCs w:val="18"/>
              </w:rPr>
              <w:t xml:space="preserve">Notification history API</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1A1A1A"/>
                <w:sz w:val="18"/>
                <w:szCs w:val="18"/>
              </w:rPr>
              <w:t xml:space="preserve">Build the endpoint returning a member's notification history.</w:t>
            </w:r>
          </w:p>
        </w:tc>
      </w:tr>
      <w:tr>
        <w:tc>
          <w:tcPr>
            <w:tcW w:type="dxa" w:w="600"/>
            <w:tcBorders>
              <w:top w:val="single" w:color="CCCCCC" w:sz="1"/>
              <w:left w:val="single" w:color="CCCCCC" w:sz="1"/>
              <w:bottom w:val="single" w:color="CCCCCC" w:sz="1"/>
              <w:right w:val="single" w:color="CCCCCC" w:sz="1"/>
            </w:tcBorders>
            <w:shd w:fill="F4F2EA" w:val="clear"/>
            <w:tcMar>
              <w:top w:type="dxa" w:w="80"/>
              <w:left w:type="dxa" w:w="120"/>
              <w:bottom w:type="dxa" w:w="80"/>
              <w:right w:type="dxa" w:w="120"/>
            </w:tcMar>
            <w:vAlign w:val="top"/>
          </w:tcPr>
          <w:p>
            <w:pPr>
              <w:jc w:val="left"/>
            </w:pPr>
            <w:r>
              <w:rPr>
                <w:b/>
                <w:bCs/>
                <w:color w:val="1A1A1A"/>
                <w:sz w:val="18"/>
                <w:szCs w:val="18"/>
              </w:rPr>
              <w:t xml:space="preserve">T45</w:t>
            </w:r>
          </w:p>
        </w:tc>
        <w:tc>
          <w:tcPr>
            <w:tcW w:type="dxa" w:w="1900"/>
            <w:tcBorders>
              <w:top w:val="single" w:color="CCCCCC" w:sz="1"/>
              <w:left w:val="single" w:color="CCCCCC" w:sz="1"/>
              <w:bottom w:val="single" w:color="CCCCCC" w:sz="1"/>
              <w:right w:val="single" w:color="CCCCCC" w:sz="1"/>
            </w:tcBorders>
            <w:shd w:fill="F4F2EA" w:val="clear"/>
            <w:tcMar>
              <w:top w:type="dxa" w:w="80"/>
              <w:left w:type="dxa" w:w="120"/>
              <w:bottom w:type="dxa" w:w="80"/>
              <w:right w:type="dxa" w:w="120"/>
            </w:tcMar>
            <w:vAlign w:val="top"/>
          </w:tcPr>
          <w:p>
            <w:pPr>
              <w:jc w:val="left"/>
            </w:pPr>
            <w:r>
              <w:rPr>
                <w:b w:val="false"/>
                <w:bCs w:val="false"/>
                <w:color w:val="1A1A1A"/>
                <w:sz w:val="18"/>
                <w:szCs w:val="18"/>
              </w:rPr>
              <w:t xml:space="preserve">Payment Gateway Module</w:t>
            </w:r>
          </w:p>
        </w:tc>
        <w:tc>
          <w:tcPr>
            <w:tcW w:type="dxa" w:w="2360"/>
            <w:tcBorders>
              <w:top w:val="single" w:color="CCCCCC" w:sz="1"/>
              <w:left w:val="single" w:color="CCCCCC" w:sz="1"/>
              <w:bottom w:val="single" w:color="CCCCCC" w:sz="1"/>
              <w:right w:val="single" w:color="CCCCCC" w:sz="1"/>
            </w:tcBorders>
            <w:shd w:fill="F4F2EA" w:val="clear"/>
            <w:tcMar>
              <w:top w:type="dxa" w:w="80"/>
              <w:left w:type="dxa" w:w="120"/>
              <w:bottom w:type="dxa" w:w="80"/>
              <w:right w:type="dxa" w:w="120"/>
            </w:tcMar>
            <w:vAlign w:val="top"/>
          </w:tcPr>
          <w:p>
            <w:pPr>
              <w:jc w:val="left"/>
            </w:pPr>
            <w:r>
              <w:rPr>
                <w:b/>
                <w:bCs/>
                <w:color w:val="1A1A1A"/>
                <w:sz w:val="18"/>
                <w:szCs w:val="18"/>
              </w:rPr>
              <w:t xml:space="preserve">Paystack webhook receiver + signature verification</w:t>
            </w:r>
          </w:p>
        </w:tc>
        <w:tc>
          <w:tcPr>
            <w:tcW w:type="dxa" w:w="4500"/>
            <w:tcBorders>
              <w:top w:val="single" w:color="CCCCCC" w:sz="1"/>
              <w:left w:val="single" w:color="CCCCCC" w:sz="1"/>
              <w:bottom w:val="single" w:color="CCCCCC" w:sz="1"/>
              <w:right w:val="single" w:color="CCCCCC" w:sz="1"/>
            </w:tcBorders>
            <w:shd w:fill="F4F2EA" w:val="clear"/>
            <w:tcMar>
              <w:top w:type="dxa" w:w="80"/>
              <w:left w:type="dxa" w:w="120"/>
              <w:bottom w:type="dxa" w:w="80"/>
              <w:right w:type="dxa" w:w="120"/>
            </w:tcMar>
            <w:vAlign w:val="top"/>
          </w:tcPr>
          <w:p>
            <w:pPr>
              <w:jc w:val="left"/>
            </w:pPr>
            <w:r>
              <w:rPr>
                <w:b w:val="false"/>
                <w:bCs w:val="false"/>
                <w:color w:val="1A1A1A"/>
                <w:sz w:val="18"/>
                <w:szCs w:val="18"/>
              </w:rPr>
              <w:t xml:space="preserve">Build the webhook endpoint and verify Paystack's signature before trusting any payload.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bCs/>
                <w:color w:val="1A1A1A"/>
                <w:sz w:val="18"/>
                <w:szCs w:val="18"/>
              </w:rPr>
              <w:t xml:space="preserve">T46</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1A1A1A"/>
                <w:sz w:val="18"/>
                <w:szCs w:val="18"/>
              </w:rPr>
              <w:t xml:space="preserve">Payment Gateway Module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bCs/>
                <w:color w:val="1A1A1A"/>
                <w:sz w:val="18"/>
                <w:szCs w:val="18"/>
              </w:rPr>
              <w:t xml:space="preserve">paystack_transaction dedup table &amp; idempotent processing</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1A1A1A"/>
                <w:sz w:val="18"/>
                <w:szCs w:val="18"/>
              </w:rPr>
              <w:t xml:space="preserve">Create the dedup table keyed on Paystack's transaction reference so retried webhooks aren't double-processed.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bCs/>
                <w:color w:val="1A1A1A"/>
                <w:sz w:val="18"/>
                <w:szCs w:val="18"/>
              </w:rPr>
              <w:t xml:space="preserve">T47</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1A1A1A"/>
                <w:sz w:val="18"/>
                <w:szCs w:val="18"/>
              </w:rPr>
              <w:t xml:space="preserve">Payment Gateway Module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bCs/>
                <w:color w:val="1A1A1A"/>
                <w:sz w:val="18"/>
                <w:szCs w:val="18"/>
              </w:rPr>
              <w:t xml:space="preserve">Publish ContributionMadeEvent from verified transactions</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1A1A1A"/>
                <w:sz w:val="18"/>
                <w:szCs w:val="18"/>
              </w:rPr>
              <w:t xml:space="preserve">Resolve the paying member and publish ContributionMadeEvent the first time a transaction is verified.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bCs/>
                <w:color w:val="1A1A1A"/>
                <w:sz w:val="18"/>
                <w:szCs w:val="18"/>
              </w:rPr>
              <w:t xml:space="preserve">T48</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1A1A1A"/>
                <w:sz w:val="18"/>
                <w:szCs w:val="18"/>
              </w:rPr>
              <w:t xml:space="preserve">Payment Gateway Module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bCs/>
                <w:color w:val="1A1A1A"/>
                <w:sz w:val="18"/>
                <w:szCs w:val="18"/>
              </w:rPr>
              <w:t xml:space="preserve">Scheduled job: Paystack reconciliation sweep</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1A1A1A"/>
                <w:sz w:val="18"/>
                <w:szCs w:val="18"/>
              </w:rPr>
              <w:t xml:space="preserve">Build the daily job that polls Paystack for transactions with no matching local record.</w:t>
            </w:r>
          </w:p>
        </w:tc>
      </w:tr>
      <w:tr>
        <w:tc>
          <w:tcPr>
            <w:tcW w:type="dxa" w:w="600"/>
            <w:tcBorders>
              <w:top w:val="single" w:color="CCCCCC" w:sz="1"/>
              <w:left w:val="single" w:color="CCCCCC" w:sz="1"/>
              <w:bottom w:val="single" w:color="CCCCCC" w:sz="1"/>
              <w:right w:val="single" w:color="CCCCCC" w:sz="1"/>
            </w:tcBorders>
            <w:shd w:fill="F4F2EA" w:val="clear"/>
            <w:tcMar>
              <w:top w:type="dxa" w:w="80"/>
              <w:left w:type="dxa" w:w="120"/>
              <w:bottom w:type="dxa" w:w="80"/>
              <w:right w:type="dxa" w:w="120"/>
            </w:tcMar>
            <w:vAlign w:val="top"/>
          </w:tcPr>
          <w:p>
            <w:pPr>
              <w:jc w:val="left"/>
            </w:pPr>
            <w:r>
              <w:rPr>
                <w:b/>
                <w:bCs/>
                <w:color w:val="1A1A1A"/>
                <w:sz w:val="18"/>
                <w:szCs w:val="18"/>
              </w:rPr>
              <w:t xml:space="preserve">T49</w:t>
            </w:r>
          </w:p>
        </w:tc>
        <w:tc>
          <w:tcPr>
            <w:tcW w:type="dxa" w:w="1900"/>
            <w:tcBorders>
              <w:top w:val="single" w:color="CCCCCC" w:sz="1"/>
              <w:left w:val="single" w:color="CCCCCC" w:sz="1"/>
              <w:bottom w:val="single" w:color="CCCCCC" w:sz="1"/>
              <w:right w:val="single" w:color="CCCCCC" w:sz="1"/>
            </w:tcBorders>
            <w:shd w:fill="F4F2EA" w:val="clear"/>
            <w:tcMar>
              <w:top w:type="dxa" w:w="80"/>
              <w:left w:type="dxa" w:w="120"/>
              <w:bottom w:type="dxa" w:w="80"/>
              <w:right w:type="dxa" w:w="120"/>
            </w:tcMar>
            <w:vAlign w:val="top"/>
          </w:tcPr>
          <w:p>
            <w:pPr>
              <w:jc w:val="left"/>
            </w:pPr>
            <w:r>
              <w:rPr>
                <w:b w:val="false"/>
                <w:bCs w:val="false"/>
                <w:color w:val="1A1A1A"/>
                <w:sz w:val="18"/>
                <w:szCs w:val="18"/>
              </w:rPr>
              <w:t xml:space="preserve">QA &amp; Deployment</w:t>
            </w:r>
          </w:p>
        </w:tc>
        <w:tc>
          <w:tcPr>
            <w:tcW w:type="dxa" w:w="2360"/>
            <w:tcBorders>
              <w:top w:val="single" w:color="CCCCCC" w:sz="1"/>
              <w:left w:val="single" w:color="CCCCCC" w:sz="1"/>
              <w:bottom w:val="single" w:color="CCCCCC" w:sz="1"/>
              <w:right w:val="single" w:color="CCCCCC" w:sz="1"/>
            </w:tcBorders>
            <w:shd w:fill="F4F2EA" w:val="clear"/>
            <w:tcMar>
              <w:top w:type="dxa" w:w="80"/>
              <w:left w:type="dxa" w:w="120"/>
              <w:bottom w:type="dxa" w:w="80"/>
              <w:right w:type="dxa" w:w="120"/>
            </w:tcMar>
            <w:vAlign w:val="top"/>
          </w:tcPr>
          <w:p>
            <w:pPr>
              <w:jc w:val="left"/>
            </w:pPr>
            <w:r>
              <w:rPr>
                <w:b/>
                <w:bCs/>
                <w:color w:val="1A1A1A"/>
                <w:sz w:val="18"/>
                <w:szCs w:val="18"/>
              </w:rPr>
              <w:t xml:space="preserve">Unit &amp; integration testing across core modules</w:t>
            </w:r>
          </w:p>
        </w:tc>
        <w:tc>
          <w:tcPr>
            <w:tcW w:type="dxa" w:w="4500"/>
            <w:tcBorders>
              <w:top w:val="single" w:color="CCCCCC" w:sz="1"/>
              <w:left w:val="single" w:color="CCCCCC" w:sz="1"/>
              <w:bottom w:val="single" w:color="CCCCCC" w:sz="1"/>
              <w:right w:val="single" w:color="CCCCCC" w:sz="1"/>
            </w:tcBorders>
            <w:shd w:fill="F4F2EA" w:val="clear"/>
            <w:tcMar>
              <w:top w:type="dxa" w:w="80"/>
              <w:left w:type="dxa" w:w="120"/>
              <w:bottom w:type="dxa" w:w="80"/>
              <w:right w:type="dxa" w:w="120"/>
            </w:tcMar>
            <w:vAlign w:val="top"/>
          </w:tcPr>
          <w:p>
            <w:pPr>
              <w:jc w:val="left"/>
            </w:pPr>
            <w:r>
              <w:rPr>
                <w:b w:val="false"/>
                <w:bCs w:val="false"/>
                <w:color w:val="1A1A1A"/>
                <w:sz w:val="18"/>
                <w:szCs w:val="18"/>
              </w:rPr>
              <w:t xml:space="preserve">Write unit tests for business logic and integration tests covering contribution-to-ledger, loan-to-default-to-liability, and repayment-to-closure flows.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bCs/>
                <w:color w:val="1A1A1A"/>
                <w:sz w:val="18"/>
                <w:szCs w:val="18"/>
              </w:rPr>
              <w:t xml:space="preserve">T50</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1A1A1A"/>
                <w:sz w:val="18"/>
                <w:szCs w:val="18"/>
              </w:rPr>
              <w:t xml:space="preserve">QA &amp; Deployment</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bCs/>
                <w:color w:val="1A1A1A"/>
                <w:sz w:val="18"/>
                <w:szCs w:val="18"/>
              </w:rPr>
              <w:t xml:space="preserve">Dockerize application &amp; deployment documentation</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1A1A1A"/>
                <w:sz w:val="18"/>
                <w:szCs w:val="18"/>
              </w:rPr>
              <w:t xml:space="preserve">Write the Dockerfile, docker-compose for app+Postgres, and a README covering setup and deployment.</w:t>
            </w:r>
          </w:p>
        </w:tc>
      </w:tr>
    </w:tbl>
    <w:p>
      <w:r>
        <w:br w:type="page"/>
      </w:r>
    </w:p>
    <w:p>
      <w:pPr>
        <w:pStyle w:val="Heading1"/>
      </w:pPr>
      <w:r>
        <w:t xml:space="preserve">4. Task Allocation</w:t>
      </w:r>
    </w:p>
    <w:p>
      <w:pPr>
        <w:spacing w:after="160"/>
      </w:pPr>
      <w:r>
        <w:t xml:space="preserve">The 50 tasks above were shuffled randomly and allocated across the 8 active team members (Frank Joseph excluded — unticked). Oluwatimilehin Awoniyi carries 8 tasks as the project lead; everyone else carries 6. The split is 8 + 7×6 = 50.</w:t>
      </w:r>
    </w:p>
    <w:p>
      <w:pPr>
        <w:spacing w:after="160"/>
      </w:pPr>
      <w:r>
        <w:rPr>
          <w:i/>
          <w:iCs/>
          <w:color w:val="6B6A64"/>
          <w:sz w:val="19"/>
          <w:szCs w:val="19"/>
        </w:rPr>
        <w:t xml:space="preserve">Tasks within the same module that land with the same person are fine — they’re related and naturally sequence together. If any allocation creates a real bottleneck or someone wants to swap into a module they prefer, feel free to trade.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60"/>
        <w:gridCol w:w="7000"/>
      </w:tblGrid>
      <w:tr>
        <w:tc>
          <w:tcPr>
            <w:tcW w:type="dxa" w:w="1600"/>
            <w:tcBorders>
              <w:top w:val="single" w:color="CCCCCC" w:sz="1"/>
              <w:left w:val="single" w:color="CCCCCC" w:sz="1"/>
              <w:bottom w:val="single" w:color="CCCCCC" w:sz="1"/>
              <w:right w:val="single" w:color="CCCCCC" w:sz="1"/>
            </w:tcBorders>
            <w:shd w:fill="1B4D2E" w:val="clear"/>
            <w:tcMar>
              <w:top w:type="dxa" w:w="80"/>
              <w:left w:type="dxa" w:w="120"/>
              <w:bottom w:type="dxa" w:w="80"/>
              <w:right w:type="dxa" w:w="120"/>
            </w:tcMar>
            <w:vAlign w:val="top"/>
          </w:tcPr>
          <w:p>
            <w:pPr>
              <w:jc w:val="left"/>
            </w:pPr>
            <w:r>
              <w:rPr>
                <w:b/>
                <w:bCs/>
                <w:color w:val="FFFFFF"/>
                <w:sz w:val="19"/>
                <w:szCs w:val="19"/>
              </w:rPr>
              <w:t xml:space="preserve">Team Member</w:t>
            </w:r>
          </w:p>
        </w:tc>
        <w:tc>
          <w:tcPr>
            <w:tcW w:type="dxa" w:w="760"/>
            <w:tcBorders>
              <w:top w:val="single" w:color="CCCCCC" w:sz="1"/>
              <w:left w:val="single" w:color="CCCCCC" w:sz="1"/>
              <w:bottom w:val="single" w:color="CCCCCC" w:sz="1"/>
              <w:right w:val="single" w:color="CCCCCC" w:sz="1"/>
            </w:tcBorders>
            <w:shd w:fill="1B4D2E" w:val="clear"/>
            <w:tcMar>
              <w:top w:type="dxa" w:w="80"/>
              <w:left w:type="dxa" w:w="120"/>
              <w:bottom w:type="dxa" w:w="80"/>
              <w:right w:type="dxa" w:w="120"/>
            </w:tcMar>
            <w:vAlign w:val="top"/>
          </w:tcPr>
          <w:p>
            <w:pPr>
              <w:jc w:val="center"/>
            </w:pPr>
            <w:r>
              <w:rPr>
                <w:b/>
                <w:bCs/>
                <w:color w:val="FFFFFF"/>
                <w:sz w:val="19"/>
                <w:szCs w:val="19"/>
              </w:rPr>
              <w:t xml:space="preserve">Total</w:t>
            </w:r>
          </w:p>
        </w:tc>
        <w:tc>
          <w:tcPr>
            <w:tcW w:type="dxa" w:w="7000"/>
            <w:tcBorders>
              <w:top w:val="single" w:color="CCCCCC" w:sz="1"/>
              <w:left w:val="single" w:color="CCCCCC" w:sz="1"/>
              <w:bottom w:val="single" w:color="CCCCCC" w:sz="1"/>
              <w:right w:val="single" w:color="CCCCCC" w:sz="1"/>
            </w:tcBorders>
            <w:shd w:fill="1B4D2E" w:val="clear"/>
            <w:tcMar>
              <w:top w:type="dxa" w:w="80"/>
              <w:left w:type="dxa" w:w="120"/>
              <w:bottom w:type="dxa" w:w="80"/>
              <w:right w:type="dxa" w:w="120"/>
            </w:tcMar>
            <w:vAlign w:val="top"/>
          </w:tcPr>
          <w:p>
            <w:pPr>
              <w:jc w:val="left"/>
            </w:pPr>
            <w:r>
              <w:rPr>
                <w:b/>
                <w:bCs/>
                <w:color w:val="FFFFFF"/>
                <w:sz w:val="19"/>
                <w:szCs w:val="19"/>
              </w:rPr>
              <w:t xml:space="preserve">Assigned Tasks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bCs/>
                <w:color w:val="1A1A1A"/>
                <w:sz w:val="19"/>
                <w:szCs w:val="19"/>
              </w:rPr>
              <w:t xml:space="preserve">Ayobami Adeoju</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center"/>
            </w:pPr>
            <w:r>
              <w:rPr>
                <w:b w:val="false"/>
                <w:bCs w:val="false"/>
                <w:color w:val="1A1A1A"/>
                <w:sz w:val="19"/>
                <w:szCs w:val="19"/>
              </w:rPr>
              <w:t xml:space="preserve">6</w:t>
            </w:r>
          </w:p>
        </w:tc>
        <w:tc>
          <w:tcPr>
            <w:tcW w:type="dxa" w:w="7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pPr>
            <w:r>
              <w:rPr>
                <w:sz w:val="19"/>
                <w:szCs w:val="19"/>
              </w:rPr>
              <w:t xml:space="preserve">T8: Transactional outbox implementation (Infrastructure &amp; Shared)</w:t>
            </w:r>
          </w:p>
          <w:p>
            <w:pPr>
              <w:spacing w:after="60"/>
            </w:pPr>
            <w:r>
              <w:rPr>
                <w:sz w:val="19"/>
                <w:szCs w:val="19"/>
              </w:rPr>
              <w:t xml:space="preserve">T37: Trial balance &amp; account balance query API (Accounting Module (Ledger))</w:t>
            </w:r>
          </w:p>
          <w:p>
            <w:pPr>
              <w:spacing w:after="60"/>
            </w:pPr>
            <w:r>
              <w:rPr>
                <w:sz w:val="19"/>
                <w:szCs w:val="19"/>
              </w:rPr>
              <w:t xml:space="preserve">T27: Guarantor credibility profile projection (Loan Module)</w:t>
            </w:r>
          </w:p>
          <w:p>
            <w:pPr>
              <w:spacing w:after="60"/>
            </w:pPr>
            <w:r>
              <w:rPr>
                <w:sz w:val="19"/>
                <w:szCs w:val="19"/>
              </w:rPr>
              <w:t xml:space="preserve">T33: Event listener: contribution → journal entry (Accounting Module (Ledger))</w:t>
            </w:r>
          </w:p>
          <w:p>
            <w:pPr>
              <w:spacing w:after="60"/>
            </w:pPr>
            <w:r>
              <w:rPr>
                <w:sz w:val="19"/>
                <w:szCs w:val="19"/>
              </w:rPr>
              <w:t xml:space="preserve">T2: PostgreSQL setup &amp; configuration (Infrastructure &amp; Shared)</w:t>
            </w:r>
          </w:p>
          <w:p>
            <w:pPr>
              <w:spacing w:after="60"/>
            </w:pPr>
            <w:r>
              <w:rPr>
                <w:sz w:val="19"/>
                <w:szCs w:val="19"/>
              </w:rPr>
              <w:t xml:space="preserve">T50: Dockerize application &amp; deployment documentation (QA &amp; Deployment)</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bCs/>
                <w:color w:val="1A1A1A"/>
                <w:sz w:val="19"/>
                <w:szCs w:val="19"/>
              </w:rPr>
              <w:t xml:space="preserve">Chinza N.</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center"/>
            </w:pPr>
            <w:r>
              <w:rPr>
                <w:b w:val="false"/>
                <w:bCs w:val="false"/>
                <w:color w:val="1A1A1A"/>
                <w:sz w:val="19"/>
                <w:szCs w:val="19"/>
              </w:rPr>
              <w:t xml:space="preserve">6</w:t>
            </w:r>
          </w:p>
        </w:tc>
        <w:tc>
          <w:tcPr>
            <w:tcW w:type="dxa" w:w="7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pPr>
            <w:r>
              <w:rPr>
                <w:sz w:val="19"/>
                <w:szCs w:val="19"/>
              </w:rPr>
              <w:t xml:space="preserve">T44: Notification history API (Notification Module)</w:t>
            </w:r>
          </w:p>
          <w:p>
            <w:pPr>
              <w:spacing w:after="60"/>
            </w:pPr>
            <w:r>
              <w:rPr>
                <w:sz w:val="19"/>
                <w:szCs w:val="19"/>
              </w:rPr>
              <w:t xml:space="preserve">T13: Member status &amp; KYC verification workflow (Member Module)</w:t>
            </w:r>
          </w:p>
          <w:p>
            <w:pPr>
              <w:spacing w:after="60"/>
            </w:pPr>
            <w:r>
              <w:rPr>
                <w:sz w:val="19"/>
                <w:szCs w:val="19"/>
              </w:rPr>
              <w:t xml:space="preserve">T19: LoanGuarantor entity &amp; add-guarantor API (Loan Module)</w:t>
            </w:r>
          </w:p>
          <w:p>
            <w:pPr>
              <w:spacing w:after="60"/>
            </w:pPr>
            <w:r>
              <w:rPr>
                <w:sz w:val="19"/>
                <w:szCs w:val="19"/>
              </w:rPr>
              <w:t xml:space="preserve">T28: Loan status tracking &amp; disbursement API (Loan Module)</w:t>
            </w:r>
          </w:p>
          <w:p>
            <w:pPr>
              <w:spacing w:after="60"/>
            </w:pPr>
            <w:r>
              <w:rPr>
                <w:sz w:val="19"/>
                <w:szCs w:val="19"/>
              </w:rPr>
              <w:t xml:space="preserve">T21: Available-guarantors &amp; guarantor-invites APIs (Loan Module)</w:t>
            </w:r>
          </w:p>
          <w:p>
            <w:pPr>
              <w:spacing w:after="60"/>
            </w:pPr>
            <w:r>
              <w:rPr>
                <w:sz w:val="19"/>
                <w:szCs w:val="19"/>
              </w:rPr>
              <w:t xml:space="preserve">T6: OpenAPI / Swagger documentation setup (Infrastructure &amp; Shared)</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bCs/>
                <w:color w:val="1A1A1A"/>
                <w:sz w:val="19"/>
                <w:szCs w:val="19"/>
              </w:rPr>
              <w:t xml:space="preserve">Fassi Wasiu</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center"/>
            </w:pPr>
            <w:r>
              <w:rPr>
                <w:b w:val="false"/>
                <w:bCs w:val="false"/>
                <w:color w:val="1A1A1A"/>
                <w:sz w:val="19"/>
                <w:szCs w:val="19"/>
              </w:rPr>
              <w:t xml:space="preserve">6</w:t>
            </w:r>
          </w:p>
        </w:tc>
        <w:tc>
          <w:tcPr>
            <w:tcW w:type="dxa" w:w="7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pPr>
            <w:r>
              <w:rPr>
                <w:sz w:val="19"/>
                <w:szCs w:val="19"/>
              </w:rPr>
              <w:t xml:space="preserve">T30: Record borrower repayment API + event (Repayment Module)</w:t>
            </w:r>
          </w:p>
          <w:p>
            <w:pPr>
              <w:spacing w:after="60"/>
            </w:pPr>
            <w:r>
              <w:rPr>
                <w:sz w:val="19"/>
                <w:szCs w:val="19"/>
              </w:rPr>
              <w:t xml:space="preserve">T40: Dashboard &amp; report GET endpoints (Reporting Module)</w:t>
            </w:r>
          </w:p>
          <w:p>
            <w:pPr>
              <w:spacing w:after="60"/>
            </w:pPr>
            <w:r>
              <w:rPr>
                <w:sz w:val="19"/>
                <w:szCs w:val="19"/>
              </w:rPr>
              <w:t xml:space="preserve">T42: notification_log entity &amp; EmailSender interface (Notification Module)</w:t>
            </w:r>
          </w:p>
          <w:p>
            <w:pPr>
              <w:spacing w:after="60"/>
            </w:pPr>
            <w:r>
              <w:rPr>
                <w:sz w:val="19"/>
                <w:szCs w:val="19"/>
              </w:rPr>
              <w:t xml:space="preserve">T31: Record guarantor liability repayment API (Repayment Module)</w:t>
            </w:r>
          </w:p>
          <w:p>
            <w:pPr>
              <w:spacing w:after="60"/>
            </w:pPr>
            <w:r>
              <w:rPr>
                <w:sz w:val="19"/>
                <w:szCs w:val="19"/>
              </w:rPr>
              <w:t xml:space="preserve">T9: Retry &amp; backoff framework for outbound calls (Infrastructure &amp; Shared)</w:t>
            </w:r>
          </w:p>
          <w:p>
            <w:pPr>
              <w:spacing w:after="60"/>
            </w:pPr>
            <w:r>
              <w:rPr>
                <w:sz w:val="19"/>
                <w:szCs w:val="19"/>
              </w:rPr>
              <w:t xml:space="preserve">T20: Guarantor accept/decline workflow + event (Loan Module)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bCs/>
                <w:color w:val="1A1A1A"/>
                <w:sz w:val="19"/>
                <w:szCs w:val="19"/>
              </w:rPr>
              <w:t xml:space="preserve">Gold Oladis</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center"/>
            </w:pPr>
            <w:r>
              <w:rPr>
                <w:b w:val="false"/>
                <w:bCs w:val="false"/>
                <w:color w:val="1A1A1A"/>
                <w:sz w:val="19"/>
                <w:szCs w:val="19"/>
              </w:rPr>
              <w:t xml:space="preserve">6</w:t>
            </w:r>
          </w:p>
        </w:tc>
        <w:tc>
          <w:tcPr>
            <w:tcW w:type="dxa" w:w="7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pPr>
            <w:r>
              <w:rPr>
                <w:sz w:val="19"/>
                <w:szCs w:val="19"/>
              </w:rPr>
              <w:t xml:space="preserve">T47: Publish ContributionMadeEvent from verified transactions (Payment Gateway Module)</w:t>
            </w:r>
          </w:p>
          <w:p>
            <w:pPr>
              <w:spacing w:after="60"/>
            </w:pPr>
            <w:r>
              <w:rPr>
                <w:sz w:val="19"/>
                <w:szCs w:val="19"/>
              </w:rPr>
              <w:t xml:space="preserve">T48: Scheduled job: Paystack reconciliation sweep (Payment Gateway Module)</w:t>
            </w:r>
          </w:p>
          <w:p>
            <w:pPr>
              <w:spacing w:after="60"/>
            </w:pPr>
            <w:r>
              <w:rPr>
                <w:sz w:val="19"/>
                <w:szCs w:val="19"/>
              </w:rPr>
              <w:t xml:space="preserve">T43: Event listeners: approval, invite, repayment, default (Notification Module)</w:t>
            </w:r>
          </w:p>
          <w:p>
            <w:pPr>
              <w:spacing w:after="60"/>
            </w:pPr>
            <w:r>
              <w:rPr>
                <w:sz w:val="19"/>
                <w:szCs w:val="19"/>
              </w:rPr>
              <w:t xml:space="preserve">T4: Logging &amp; audit logging configuration (Infrastructure &amp; Shared)</w:t>
            </w:r>
          </w:p>
          <w:p>
            <w:pPr>
              <w:spacing w:after="60"/>
            </w:pPr>
            <w:r>
              <w:rPr>
                <w:sz w:val="19"/>
                <w:szCs w:val="19"/>
              </w:rPr>
              <w:t xml:space="preserve">T16: Contribution history &amp; member summary API (Contribution Module)</w:t>
            </w:r>
          </w:p>
          <w:p>
            <w:pPr>
              <w:spacing w:after="60"/>
            </w:pPr>
            <w:r>
              <w:rPr>
                <w:sz w:val="19"/>
                <w:szCs w:val="19"/>
              </w:rPr>
              <w:t xml:space="preserve">T46: paystack_transaction dedup table &amp; idempotent processing (Payment Gateway Module)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bCs/>
                <w:color w:val="1A1A1A"/>
                <w:sz w:val="19"/>
                <w:szCs w:val="19"/>
              </w:rPr>
              <w:t xml:space="preserve">Joseph Olakunle</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center"/>
            </w:pPr>
            <w:r>
              <w:rPr>
                <w:b w:val="false"/>
                <w:bCs w:val="false"/>
                <w:color w:val="1A1A1A"/>
                <w:sz w:val="19"/>
                <w:szCs w:val="19"/>
              </w:rPr>
              <w:t xml:space="preserve">6</w:t>
            </w:r>
          </w:p>
        </w:tc>
        <w:tc>
          <w:tcPr>
            <w:tcW w:type="dxa" w:w="7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pPr>
            <w:r>
              <w:rPr>
                <w:sz w:val="19"/>
                <w:szCs w:val="19"/>
              </w:rPr>
              <w:t xml:space="preserve">T26: Borrower risk profile projection (Loan Module)</w:t>
            </w:r>
          </w:p>
          <w:p>
            <w:pPr>
              <w:spacing w:after="60"/>
            </w:pPr>
            <w:r>
              <w:rPr>
                <w:sz w:val="19"/>
                <w:szCs w:val="19"/>
              </w:rPr>
              <w:t xml:space="preserve">T36: Event listener: default → liability transfer &amp; penalty posting (Accounting Module (Ledger))</w:t>
            </w:r>
          </w:p>
          <w:p>
            <w:pPr>
              <w:spacing w:after="60"/>
            </w:pPr>
            <w:r>
              <w:rPr>
                <w:sz w:val="19"/>
                <w:szCs w:val="19"/>
              </w:rPr>
              <w:t xml:space="preserve">T25: Default detection &amp; guarantor liability assignment (Loan Module)</w:t>
            </w:r>
          </w:p>
          <w:p>
            <w:pPr>
              <w:spacing w:after="60"/>
            </w:pPr>
            <w:r>
              <w:rPr>
                <w:sz w:val="19"/>
                <w:szCs w:val="19"/>
              </w:rPr>
              <w:t xml:space="preserve">T35: Event listener: repayment → journal entry (Accounting Module (Ledger))</w:t>
            </w:r>
          </w:p>
          <w:p>
            <w:pPr>
              <w:spacing w:after="60"/>
            </w:pPr>
            <w:r>
              <w:rPr>
                <w:sz w:val="19"/>
                <w:szCs w:val="19"/>
              </w:rPr>
              <w:t xml:space="preserve">T49: Unit &amp; integration testing across core modules (QA &amp; Deployment)</w:t>
            </w:r>
          </w:p>
          <w:p>
            <w:pPr>
              <w:spacing w:after="60"/>
            </w:pPr>
            <w:r>
              <w:rPr>
                <w:sz w:val="19"/>
                <w:szCs w:val="19"/>
              </w:rPr>
              <w:t xml:space="preserve">T10: Scheduled job infrastructure (Infrastructure &amp; Shared)</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bCs/>
                <w:color w:val="1A1A1A"/>
                <w:sz w:val="19"/>
                <w:szCs w:val="19"/>
              </w:rPr>
              <w:t xml:space="preserve">Lukemn Olabanjo</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center"/>
            </w:pPr>
            <w:r>
              <w:rPr>
                <w:b w:val="false"/>
                <w:bCs w:val="false"/>
                <w:color w:val="1A1A1A"/>
                <w:sz w:val="19"/>
                <w:szCs w:val="19"/>
              </w:rPr>
              <w:t xml:space="preserve">6</w:t>
            </w:r>
          </w:p>
        </w:tc>
        <w:tc>
          <w:tcPr>
            <w:tcW w:type="dxa" w:w="7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pPr>
            <w:r>
              <w:rPr>
                <w:sz w:val="19"/>
                <w:szCs w:val="19"/>
              </w:rPr>
              <w:t xml:space="preserve">T18: Loan entity, repository &amp; migration (Loan Module)</w:t>
            </w:r>
          </w:p>
          <w:p>
            <w:pPr>
              <w:spacing w:after="60"/>
            </w:pPr>
            <w:r>
              <w:rPr>
                <w:sz w:val="19"/>
                <w:szCs w:val="19"/>
              </w:rPr>
              <w:t xml:space="preserve">T3: Global exception handling &amp; validation framework (Infrastructure &amp; Shared)</w:t>
            </w:r>
          </w:p>
          <w:p>
            <w:pPr>
              <w:spacing w:after="60"/>
            </w:pPr>
            <w:r>
              <w:rPr>
                <w:sz w:val="19"/>
                <w:szCs w:val="19"/>
              </w:rPr>
              <w:t xml:space="preserve">T22: LoanInstallment entity &amp; schedule generation (Loan Module)</w:t>
            </w:r>
          </w:p>
          <w:p>
            <w:pPr>
              <w:spacing w:after="60"/>
            </w:pPr>
            <w:r>
              <w:rPr>
                <w:sz w:val="19"/>
                <w:szCs w:val="19"/>
              </w:rPr>
              <w:t xml:space="preserve">T39: Event listeners updating projections (Reporting Module)</w:t>
            </w:r>
          </w:p>
          <w:p>
            <w:pPr>
              <w:spacing w:after="60"/>
            </w:pPr>
            <w:r>
              <w:rPr>
                <w:sz w:val="19"/>
                <w:szCs w:val="19"/>
              </w:rPr>
              <w:t xml:space="preserve">T32: LedgerAccount &amp; LedgerEntry entities + chart of accounts (Accounting Module (Ledger))</w:t>
            </w:r>
          </w:p>
          <w:p>
            <w:pPr>
              <w:spacing w:after="60"/>
            </w:pPr>
            <w:r>
              <w:rPr>
                <w:sz w:val="19"/>
                <w:szCs w:val="19"/>
              </w:rPr>
              <w:t xml:space="preserve">T1: Project scaffolding &amp; module package structure (Infrastructure &amp; Shared)</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bCs/>
                <w:color w:val="1A1A1A"/>
                <w:sz w:val="19"/>
                <w:szCs w:val="19"/>
              </w:rPr>
              <w:t xml:space="preserve">Mustaph Barrie</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center"/>
            </w:pPr>
            <w:r>
              <w:rPr>
                <w:b w:val="false"/>
                <w:bCs w:val="false"/>
                <w:color w:val="1A1A1A"/>
                <w:sz w:val="19"/>
                <w:szCs w:val="19"/>
              </w:rPr>
              <w:t xml:space="preserve">6</w:t>
            </w:r>
          </w:p>
        </w:tc>
        <w:tc>
          <w:tcPr>
            <w:tcW w:type="dxa" w:w="7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pPr>
            <w:r>
              <w:rPr>
                <w:sz w:val="19"/>
                <w:szCs w:val="19"/>
              </w:rPr>
              <w:t xml:space="preserve">T24: Scheduled job: installment due-date sweep (Loan Module)</w:t>
            </w:r>
          </w:p>
          <w:p>
            <w:pPr>
              <w:spacing w:after="60"/>
            </w:pPr>
            <w:r>
              <w:rPr>
                <w:sz w:val="19"/>
                <w:szCs w:val="19"/>
              </w:rPr>
              <w:t xml:space="preserve">T29: Repayment entity, repository &amp; migration (Repayment Module)</w:t>
            </w:r>
          </w:p>
          <w:p>
            <w:pPr>
              <w:spacing w:after="60"/>
            </w:pPr>
            <w:r>
              <w:rPr>
                <w:sz w:val="19"/>
                <w:szCs w:val="19"/>
              </w:rPr>
              <w:t xml:space="preserve">T15: Record contribution API + event (Contribution Module)</w:t>
            </w:r>
          </w:p>
          <w:p>
            <w:pPr>
              <w:spacing w:after="60"/>
            </w:pPr>
            <w:r>
              <w:rPr>
                <w:sz w:val="19"/>
                <w:szCs w:val="19"/>
              </w:rPr>
              <w:t xml:space="preserve">T23: Loan approval workflow + event (Loan Module)</w:t>
            </w:r>
          </w:p>
          <w:p>
            <w:pPr>
              <w:spacing w:after="60"/>
            </w:pPr>
            <w:r>
              <w:rPr>
                <w:sz w:val="19"/>
                <w:szCs w:val="19"/>
              </w:rPr>
              <w:t xml:space="preserve">T34: Event listener: loan disbursement → journal entry (Accounting Module (Ledger))</w:t>
            </w:r>
          </w:p>
          <w:p>
            <w:pPr>
              <w:spacing w:after="60"/>
            </w:pPr>
            <w:r>
              <w:rPr>
                <w:sz w:val="19"/>
                <w:szCs w:val="19"/>
              </w:rPr>
              <w:t xml:space="preserve">T41: SSE stream endpoint for live dashboard push (Reporting Module)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bCs/>
                <w:color w:val="1A1A1A"/>
                <w:sz w:val="19"/>
                <w:szCs w:val="19"/>
              </w:rPr>
              <w:t xml:space="preserve">Oluwatimilehin Awoniyi</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center"/>
            </w:pPr>
            <w:r>
              <w:rPr>
                <w:b w:val="false"/>
                <w:bCs w:val="false"/>
                <w:color w:val="1A1A1A"/>
                <w:sz w:val="19"/>
                <w:szCs w:val="19"/>
              </w:rPr>
              <w:t xml:space="preserve">8</w:t>
            </w:r>
          </w:p>
        </w:tc>
        <w:tc>
          <w:tcPr>
            <w:tcW w:type="dxa" w:w="7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pPr>
            <w:r>
              <w:rPr>
                <w:sz w:val="19"/>
                <w:szCs w:val="19"/>
              </w:rPr>
              <w:t xml:space="preserve">T11: Member entity, repository &amp; migration (Member Module)</w:t>
            </w:r>
          </w:p>
          <w:p>
            <w:pPr>
              <w:spacing w:after="60"/>
            </w:pPr>
            <w:r>
              <w:rPr>
                <w:sz w:val="19"/>
                <w:szCs w:val="19"/>
              </w:rPr>
              <w:t xml:space="preserve">T5: Domain event infrastructure (Infrastructure &amp; Shared)</w:t>
            </w:r>
          </w:p>
          <w:p>
            <w:pPr>
              <w:spacing w:after="60"/>
            </w:pPr>
            <w:r>
              <w:rPr>
                <w:sz w:val="19"/>
                <w:szCs w:val="19"/>
              </w:rPr>
              <w:t xml:space="preserve">T38: Reporting projection tables &amp; migrations (Reporting Module)</w:t>
            </w:r>
          </w:p>
          <w:p>
            <w:pPr>
              <w:spacing w:after="60"/>
            </w:pPr>
            <w:r>
              <w:rPr>
                <w:sz w:val="19"/>
                <w:szCs w:val="19"/>
              </w:rPr>
              <w:t xml:space="preserve">T7: Spring Security: authentication &amp; role-based authorization (Infrastructure &amp; Shared)</w:t>
            </w:r>
          </w:p>
          <w:p>
            <w:pPr>
              <w:spacing w:after="60"/>
            </w:pPr>
            <w:r>
              <w:rPr>
                <w:sz w:val="19"/>
                <w:szCs w:val="19"/>
              </w:rPr>
              <w:t xml:space="preserve">T17: LoanRequest entity &amp; submit API (Loan Module)</w:t>
            </w:r>
          </w:p>
          <w:p>
            <w:pPr>
              <w:spacing w:after="60"/>
            </w:pPr>
            <w:r>
              <w:rPr>
                <w:sz w:val="19"/>
                <w:szCs w:val="19"/>
              </w:rPr>
              <w:t xml:space="preserve">T14: Contribution entity, repository &amp; migration (Contribution Module)</w:t>
            </w:r>
          </w:p>
          <w:p>
            <w:pPr>
              <w:spacing w:after="60"/>
            </w:pPr>
            <w:r>
              <w:rPr>
                <w:sz w:val="19"/>
                <w:szCs w:val="19"/>
              </w:rPr>
              <w:t xml:space="preserve">T45: Paystack webhook receiver + signature verification (Payment Gateway Module)</w:t>
            </w:r>
          </w:p>
          <w:p>
            <w:pPr>
              <w:spacing w:after="60"/>
            </w:pPr>
            <w:r>
              <w:rPr>
                <w:sz w:val="19"/>
                <w:szCs w:val="19"/>
              </w:rPr>
              <w:t xml:space="preserve">T12: Member registration &amp; profile API (Member Module)</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A9890"/>
        <w:sz w:val="16"/>
        <w:szCs w:val="16"/>
      </w:rPr>
      <w:t xml:space="preserve">Page </w:t>
    </w:r>
    <w:r>
      <w:rPr>
        <w:color w:val="9A989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color w:val="9A9890"/>
        <w:sz w:val="16"/>
        <w:szCs w:val="16"/>
      </w:rPr>
      <w:t xml:space="preserve">Cooperative Savings &amp; Loan Platform — Technical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D2E"/>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2F7D4F"/>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3D3D3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2026-06-28T18:01:17.872Z</dcterms:created>
  <dcterms:modified xsi:type="dcterms:W3CDTF">2026-06-28T18:01:17.873Z</dcterms:modified>
</cp:coreProperties>
</file>

<file path=docProps/custom.xml><?xml version="1.0" encoding="utf-8"?>
<Properties xmlns="http://schemas.openxmlformats.org/officeDocument/2006/custom-properties" xmlns:vt="http://schemas.openxmlformats.org/officeDocument/2006/docPropsVTypes"/>
</file>