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B3" w:rsidRPr="005F5FAD" w:rsidRDefault="00FD61A7" w:rsidP="005F5FAD">
      <w:pPr>
        <w:pStyle w:val="Title"/>
        <w:jc w:val="center"/>
        <w:rPr>
          <w:sz w:val="52"/>
        </w:rPr>
      </w:pPr>
      <w:r w:rsidRPr="005F5FAD">
        <w:rPr>
          <w:sz w:val="52"/>
        </w:rPr>
        <w:t>Report on the Simulation of Forest Fire</w:t>
      </w:r>
      <w:r w:rsidR="00852AE9" w:rsidRPr="005F5FAD">
        <w:rPr>
          <w:sz w:val="52"/>
        </w:rPr>
        <w:t xml:space="preserve"> Spread</w:t>
      </w:r>
    </w:p>
    <w:p w:rsidR="009A2986" w:rsidRDefault="00757FAF" w:rsidP="00852A51">
      <w:pPr>
        <w:pStyle w:val="Heading1"/>
        <w:jc w:val="both"/>
      </w:pPr>
      <w:r>
        <w:t>Overview</w:t>
      </w:r>
    </w:p>
    <w:p w:rsidR="007431AE" w:rsidRDefault="004E3AF3" w:rsidP="00852A51">
      <w:pPr>
        <w:jc w:val="both"/>
      </w:pPr>
      <w:r>
        <w:t xml:space="preserve">This </w:t>
      </w:r>
      <w:r w:rsidR="008D2E37">
        <w:t>report aims to describe the processes taken to simulate the spread of fire on a</w:t>
      </w:r>
      <w:r w:rsidR="00713922">
        <w:t>n initial</w:t>
      </w:r>
      <w:r w:rsidR="008D2E37">
        <w:t xml:space="preserve"> forest site</w:t>
      </w:r>
      <w:r w:rsidR="009B303E">
        <w:t xml:space="preserve"> filled with burning and non-burning </w:t>
      </w:r>
      <w:r w:rsidR="008A1012">
        <w:t>trees</w:t>
      </w:r>
      <w:r w:rsidR="008D2E37">
        <w:t xml:space="preserve">. </w:t>
      </w:r>
      <w:r w:rsidR="00F35E0F">
        <w:t>The spread of fire at every location of the forest</w:t>
      </w:r>
      <w:r w:rsidR="008D2E37">
        <w:t xml:space="preserve"> could be influenced by a number of factors which might include, </w:t>
      </w:r>
      <w:r w:rsidR="00E16744">
        <w:t xml:space="preserve">the </w:t>
      </w:r>
      <w:r w:rsidR="008D2E37">
        <w:t>closeness of one of the trees in the forest to a burning tree in it</w:t>
      </w:r>
      <w:r w:rsidR="00095BE1">
        <w:t>s M</w:t>
      </w:r>
      <w:r w:rsidR="008D2E37">
        <w:t>oore neighbo</w:t>
      </w:r>
      <w:r w:rsidR="00095BE1">
        <w:t>u</w:t>
      </w:r>
      <w:r w:rsidR="00E40191">
        <w:t>rhoods or the possibility of lightning strikes on the forest site</w:t>
      </w:r>
      <w:r w:rsidR="003B7215">
        <w:t>.</w:t>
      </w:r>
      <w:r w:rsidR="00E40191">
        <w:t xml:space="preserve"> </w:t>
      </w:r>
      <w:r w:rsidR="00FB46F3">
        <w:t xml:space="preserve">In addition to that, </w:t>
      </w:r>
      <w:r w:rsidR="006014D3">
        <w:t>some</w:t>
      </w:r>
      <w:r w:rsidR="00FB46F3">
        <w:t xml:space="preserve"> types of trees are immune to fire such that even though there may be burning influences, they don’t</w:t>
      </w:r>
      <w:r w:rsidR="006014D3">
        <w:t xml:space="preserve"> get</w:t>
      </w:r>
      <w:r w:rsidR="00FB46F3">
        <w:t xml:space="preserve"> burn</w:t>
      </w:r>
      <w:r w:rsidR="006014D3">
        <w:t>t</w:t>
      </w:r>
      <w:r w:rsidR="00FB46F3">
        <w:t xml:space="preserve"> easily. </w:t>
      </w:r>
      <w:r w:rsidR="006014D3">
        <w:t xml:space="preserve">As a result, </w:t>
      </w:r>
      <w:r w:rsidR="0049413B">
        <w:t>in the following sections</w:t>
      </w:r>
      <w:r w:rsidR="00E16744">
        <w:t>,</w:t>
      </w:r>
      <w:r w:rsidR="0049413B">
        <w:t xml:space="preserve"> </w:t>
      </w:r>
      <w:r w:rsidR="00D844C7">
        <w:t>I</w:t>
      </w:r>
      <w:r w:rsidR="0049413B">
        <w:t xml:space="preserve"> aim to describe how this simulation has been achieved according to the coursework specification.</w:t>
      </w:r>
    </w:p>
    <w:p w:rsidR="00E16CE6" w:rsidRDefault="004F1647" w:rsidP="00E16CE6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3724275" cy="37898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_spread_animation_100__with_parallel.gi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6" t="7781" r="8963" b="11298"/>
                    <a:stretch/>
                  </pic:blipFill>
                  <pic:spPr bwMode="auto">
                    <a:xfrm>
                      <a:off x="0" y="0"/>
                      <a:ext cx="3729070" cy="3794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CE6" w:rsidRDefault="00E16CE6" w:rsidP="000B04ED">
      <w:pPr>
        <w:pStyle w:val="Caption"/>
        <w:jc w:val="center"/>
      </w:pPr>
      <w:r>
        <w:t xml:space="preserve">Figure </w:t>
      </w:r>
      <w:r w:rsidR="003B45A5">
        <w:rPr>
          <w:noProof/>
        </w:rPr>
        <w:fldChar w:fldCharType="begin"/>
      </w:r>
      <w:r w:rsidR="003B45A5">
        <w:rPr>
          <w:noProof/>
        </w:rPr>
        <w:instrText xml:space="preserve"> SEQ Figure \* ARABIC </w:instrText>
      </w:r>
      <w:r w:rsidR="003B45A5">
        <w:rPr>
          <w:noProof/>
        </w:rPr>
        <w:fldChar w:fldCharType="separate"/>
      </w:r>
      <w:r w:rsidR="0052540F">
        <w:rPr>
          <w:noProof/>
        </w:rPr>
        <w:t>1</w:t>
      </w:r>
      <w:r w:rsidR="003B45A5">
        <w:rPr>
          <w:noProof/>
        </w:rPr>
        <w:fldChar w:fldCharType="end"/>
      </w:r>
      <w:r>
        <w:t xml:space="preserve">- a </w:t>
      </w:r>
      <w:r w:rsidR="00C53E21">
        <w:t xml:space="preserve">forest </w:t>
      </w:r>
      <w:r w:rsidR="009E5BE4">
        <w:t>site burning</w:t>
      </w:r>
    </w:p>
    <w:p w:rsidR="00225AAF" w:rsidRDefault="00225AAF" w:rsidP="00852A51">
      <w:pPr>
        <w:pStyle w:val="Heading1"/>
        <w:jc w:val="both"/>
      </w:pPr>
      <w:r>
        <w:t>Simulation</w:t>
      </w:r>
      <w:r w:rsidR="00BC1A43">
        <w:t xml:space="preserve"> Process</w:t>
      </w:r>
    </w:p>
    <w:p w:rsidR="009F082E" w:rsidRDefault="00962F1A" w:rsidP="00852A51">
      <w:pPr>
        <w:jc w:val="both"/>
      </w:pPr>
      <w:r>
        <w:t xml:space="preserve">To commence the simulation, I needed to gather some details needed to initialize the </w:t>
      </w:r>
      <w:r w:rsidRPr="00962F1A">
        <w:t>forest</w:t>
      </w:r>
      <w:r w:rsidR="00491472">
        <w:t xml:space="preserve"> </w:t>
      </w:r>
      <w:r w:rsidR="006B7E72">
        <w:t>site. This was important before</w:t>
      </w:r>
      <w:r w:rsidR="00491472">
        <w:t xml:space="preserve"> spread</w:t>
      </w:r>
      <w:r w:rsidR="006B7E72">
        <w:t>ing</w:t>
      </w:r>
      <w:r w:rsidR="00491472">
        <w:t xml:space="preserve"> the fire on the site.</w:t>
      </w:r>
      <w:r w:rsidR="008822A7">
        <w:t xml:space="preserve"> As a result, this was done with the Numpy </w:t>
      </w:r>
      <w:r w:rsidR="00004457">
        <w:t>library</w:t>
      </w:r>
      <w:r w:rsidR="00951DA6">
        <w:t xml:space="preserve"> in python</w:t>
      </w:r>
      <w:r w:rsidR="003B1172">
        <w:t>.</w:t>
      </w:r>
      <w:r w:rsidR="00BA79E6">
        <w:t xml:space="preserve"> </w:t>
      </w:r>
      <w:r w:rsidR="003A4B9B">
        <w:t xml:space="preserve">I also created variables for the </w:t>
      </w:r>
      <w:r w:rsidR="0091153D">
        <w:t xml:space="preserve">various </w:t>
      </w:r>
      <w:r w:rsidR="003A4B9B">
        <w:t xml:space="preserve">probabilities </w:t>
      </w:r>
      <w:r w:rsidR="00451866">
        <w:t>given in the coursework and set values to be inserted in the Numpy grid to represent burning and non-burning trees, empty land, and border.</w:t>
      </w:r>
      <w:r w:rsidR="009F082E">
        <w:t xml:space="preserve"> Also based on the assumption that trees are green, and fire red, I picked close </w:t>
      </w:r>
      <w:r w:rsidR="00B40454">
        <w:t>colours</w:t>
      </w:r>
      <w:r w:rsidR="009F082E">
        <w:t xml:space="preserve"> to represent them </w:t>
      </w:r>
      <w:r w:rsidR="00732044">
        <w:t xml:space="preserve">in the </w:t>
      </w:r>
      <w:r w:rsidR="006F2F3D">
        <w:t>simulation. Finally, I also assumed the fire flames burn in 300 milliseconds, represented by the animation delay.</w:t>
      </w:r>
      <w:r w:rsidR="008D7D6B">
        <w:t xml:space="preserve"> </w:t>
      </w:r>
      <w:r w:rsidR="005B264A">
        <w:t>The i</w:t>
      </w:r>
      <w:r w:rsidR="008D7D6B">
        <w:t>mage of the section is attached below.</w:t>
      </w:r>
    </w:p>
    <w:p w:rsidR="00561BF5" w:rsidRDefault="00BA79E6" w:rsidP="00561BF5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419725" cy="2905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localhost_8888-2022.04.26-09_08_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E6" w:rsidRDefault="00561BF5" w:rsidP="00561BF5">
      <w:pPr>
        <w:pStyle w:val="Caption"/>
        <w:jc w:val="center"/>
      </w:pPr>
      <w:r>
        <w:t xml:space="preserve">Figure </w:t>
      </w:r>
      <w:r w:rsidR="003B45A5">
        <w:rPr>
          <w:noProof/>
        </w:rPr>
        <w:fldChar w:fldCharType="begin"/>
      </w:r>
      <w:r w:rsidR="003B45A5">
        <w:rPr>
          <w:noProof/>
        </w:rPr>
        <w:instrText xml:space="preserve"> SEQ Figure \* ARABIC </w:instrText>
      </w:r>
      <w:r w:rsidR="003B45A5">
        <w:rPr>
          <w:noProof/>
        </w:rPr>
        <w:fldChar w:fldCharType="separate"/>
      </w:r>
      <w:r w:rsidR="0052540F">
        <w:rPr>
          <w:noProof/>
        </w:rPr>
        <w:t>2</w:t>
      </w:r>
      <w:r w:rsidR="003B45A5">
        <w:rPr>
          <w:noProof/>
        </w:rPr>
        <w:fldChar w:fldCharType="end"/>
      </w:r>
      <w:r>
        <w:t>- Gather details for the simulation</w:t>
      </w:r>
    </w:p>
    <w:p w:rsidR="00FB3588" w:rsidRDefault="00B14170" w:rsidP="00333FBC">
      <w:pPr>
        <w:jc w:val="both"/>
      </w:pPr>
      <w:r>
        <w:t>To Initialize the forest</w:t>
      </w:r>
      <w:r w:rsidR="00DB4A63">
        <w:t xml:space="preserve"> I created an empty</w:t>
      </w:r>
      <w:r w:rsidR="003309A9">
        <w:t xml:space="preserve"> forest site grid depending on the </w:t>
      </w:r>
      <w:r w:rsidR="00DB4A63">
        <w:t>size</w:t>
      </w:r>
      <w:r w:rsidR="003309A9">
        <w:t xml:space="preserve"> of the forest given,</w:t>
      </w:r>
      <w:r w:rsidR="00DB4A63">
        <w:t xml:space="preserve"> and </w:t>
      </w:r>
      <w:r w:rsidR="003309A9">
        <w:t xml:space="preserve">filled it with </w:t>
      </w:r>
      <w:r w:rsidR="007C0EFD">
        <w:t xml:space="preserve">empty lands, and </w:t>
      </w:r>
      <w:r w:rsidR="003309A9">
        <w:t>burning</w:t>
      </w:r>
      <w:r w:rsidR="007C0EFD">
        <w:t xml:space="preserve"> and non-burning trees using two probabilities, </w:t>
      </w:r>
      <w:proofErr w:type="spellStart"/>
      <w:r w:rsidR="007C0EFD">
        <w:t>probTree</w:t>
      </w:r>
      <w:proofErr w:type="spellEnd"/>
      <w:r w:rsidR="007C0EFD">
        <w:t xml:space="preserve"> and </w:t>
      </w:r>
      <w:proofErr w:type="spellStart"/>
      <w:r w:rsidR="007C0EFD">
        <w:t>probBurning</w:t>
      </w:r>
      <w:proofErr w:type="spellEnd"/>
      <w:r w:rsidR="007C0EFD">
        <w:t xml:space="preserve"> as specified in the specification.</w:t>
      </w:r>
    </w:p>
    <w:p w:rsidR="00FB3588" w:rsidRPr="00561BF5" w:rsidRDefault="00FB3588" w:rsidP="00333FBC">
      <w:pPr>
        <w:jc w:val="both"/>
      </w:pPr>
      <w:r>
        <w:t>As</w:t>
      </w:r>
      <w:r w:rsidR="00F048B6">
        <w:t xml:space="preserve"> a</w:t>
      </w:r>
      <w:r>
        <w:t xml:space="preserve"> result</w:t>
      </w:r>
      <w:r w:rsidR="00F048B6">
        <w:t>, if at any given location i</w:t>
      </w:r>
      <w:r>
        <w:t>n the forest</w:t>
      </w:r>
      <w:r w:rsidR="00F048B6">
        <w:t xml:space="preserve"> grid</w:t>
      </w:r>
      <w:r>
        <w:t>, the probability that there is a tree there is true, the probability that that tree is burning</w:t>
      </w:r>
      <w:r w:rsidR="007B7DC7">
        <w:t xml:space="preserve"> is checked</w:t>
      </w:r>
      <w:r>
        <w:t>. If the tree is not burning, then</w:t>
      </w:r>
      <w:r w:rsidR="00F048B6">
        <w:t>,</w:t>
      </w:r>
      <w:r>
        <w:t xml:space="preserve"> we just</w:t>
      </w:r>
      <w:r w:rsidR="00F048B6">
        <w:t xml:space="preserve"> set</w:t>
      </w:r>
      <w:r>
        <w:t xml:space="preserve"> the tree value, otherwise, we set the location as having a burning tree.</w:t>
      </w:r>
    </w:p>
    <w:p w:rsidR="007F14E8" w:rsidRDefault="00491472" w:rsidP="007F14E8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200650" cy="37336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-localhost_8888-2022.04.26-09_06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701" cy="37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72" w:rsidRDefault="007F14E8" w:rsidP="007F14E8">
      <w:pPr>
        <w:pStyle w:val="Caption"/>
        <w:jc w:val="center"/>
      </w:pPr>
      <w:r>
        <w:t xml:space="preserve">Figure </w:t>
      </w:r>
      <w:r w:rsidR="0017140E">
        <w:rPr>
          <w:noProof/>
        </w:rPr>
        <w:fldChar w:fldCharType="begin"/>
      </w:r>
      <w:r w:rsidR="0017140E">
        <w:rPr>
          <w:noProof/>
        </w:rPr>
        <w:instrText xml:space="preserve"> SEQ Figure \* ARABIC </w:instrText>
      </w:r>
      <w:r w:rsidR="0017140E">
        <w:rPr>
          <w:noProof/>
        </w:rPr>
        <w:fldChar w:fldCharType="separate"/>
      </w:r>
      <w:r w:rsidR="0052540F">
        <w:rPr>
          <w:noProof/>
        </w:rPr>
        <w:t>3</w:t>
      </w:r>
      <w:r w:rsidR="0017140E">
        <w:rPr>
          <w:noProof/>
        </w:rPr>
        <w:fldChar w:fldCharType="end"/>
      </w:r>
      <w:r>
        <w:t>- initializing the forest site</w:t>
      </w:r>
    </w:p>
    <w:p w:rsidR="000B6DBA" w:rsidRDefault="00C322AF" w:rsidP="00B54961">
      <w:pPr>
        <w:jc w:val="both"/>
      </w:pPr>
      <w:r>
        <w:t>Thereafter,</w:t>
      </w:r>
      <w:r w:rsidR="00451BFE">
        <w:t xml:space="preserve"> we apply the spread rules to the site. But before then, to avoid boundary effects that might prevent us from successfully applying the spread at the borders, I extended the boundaries of the site using </w:t>
      </w:r>
      <w:r w:rsidR="00451BFE">
        <w:lastRenderedPageBreak/>
        <w:t>the period</w:t>
      </w:r>
      <w:r w:rsidR="005F7149">
        <w:t>ic</w:t>
      </w:r>
      <w:r w:rsidR="00451BFE">
        <w:t xml:space="preserve"> boundary conditions</w:t>
      </w:r>
      <w:r w:rsidR="002254BC">
        <w:t xml:space="preserve"> </w:t>
      </w:r>
      <w:r w:rsidR="002254BC">
        <w:fldChar w:fldCharType="begin"/>
      </w:r>
      <w:r w:rsidR="002254BC">
        <w:instrText>ADDIN RW.CITE{{doc:626977f38f081119d7153ad5 Harris,J. 1997}}</w:instrText>
      </w:r>
      <w:r w:rsidR="002254BC">
        <w:fldChar w:fldCharType="separate"/>
      </w:r>
      <w:r w:rsidR="002254BC" w:rsidRPr="002254BC">
        <w:rPr>
          <w:rFonts w:ascii="Calibri" w:hAnsi="Calibri" w:cs="Calibri"/>
          <w:bCs/>
          <w:lang w:val="en-US"/>
        </w:rPr>
        <w:t>(Harris &amp; Stocker, 1997)</w:t>
      </w:r>
      <w:r w:rsidR="002254BC">
        <w:fldChar w:fldCharType="end"/>
      </w:r>
      <w:r w:rsidR="00451BFE">
        <w:t>.</w:t>
      </w:r>
      <w:r w:rsidR="0060649A">
        <w:t xml:space="preserve"> This is done by creating ghost </w:t>
      </w:r>
      <w:r w:rsidR="0063229D">
        <w:t>areas</w:t>
      </w:r>
      <w:r w:rsidR="0060649A">
        <w:t xml:space="preserve"> of opposite sides </w:t>
      </w:r>
      <w:r w:rsidR="009653C4">
        <w:t xml:space="preserve">to make it look like they are both </w:t>
      </w:r>
      <w:r w:rsidR="00FD5F02">
        <w:t>boundaries</w:t>
      </w:r>
      <w:r w:rsidR="009653C4">
        <w:t xml:space="preserve"> are connected.</w:t>
      </w:r>
      <w:r w:rsidR="00451BFE">
        <w:t xml:space="preserve"> </w:t>
      </w:r>
      <w:r w:rsidR="0063229D">
        <w:t>Once the ghost areas have been created at the top, left, right and bottom, we then move to apply the spread on the site.</w:t>
      </w:r>
    </w:p>
    <w:p w:rsidR="006C5B34" w:rsidRDefault="00451BFE" w:rsidP="00CE32C4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4572000" cy="2313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b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76" cy="23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FE" w:rsidRDefault="006C5B34" w:rsidP="00CE32C4">
      <w:pPr>
        <w:pStyle w:val="Caption"/>
        <w:jc w:val="center"/>
        <w:rPr>
          <w:noProof/>
        </w:rPr>
      </w:pPr>
      <w:r>
        <w:t xml:space="preserve">Figure </w:t>
      </w:r>
      <w:r w:rsidR="0017140E">
        <w:rPr>
          <w:noProof/>
        </w:rPr>
        <w:fldChar w:fldCharType="begin"/>
      </w:r>
      <w:r w:rsidR="0017140E">
        <w:rPr>
          <w:noProof/>
        </w:rPr>
        <w:instrText xml:space="preserve"> SEQ Figure \* ARABIC </w:instrText>
      </w:r>
      <w:r w:rsidR="0017140E">
        <w:rPr>
          <w:noProof/>
        </w:rPr>
        <w:fldChar w:fldCharType="separate"/>
      </w:r>
      <w:r w:rsidR="0052540F">
        <w:rPr>
          <w:noProof/>
        </w:rPr>
        <w:t>4</w:t>
      </w:r>
      <w:r w:rsidR="0017140E">
        <w:rPr>
          <w:noProof/>
        </w:rPr>
        <w:fldChar w:fldCharType="end"/>
      </w:r>
      <w:r>
        <w:rPr>
          <w:noProof/>
        </w:rPr>
        <w:t xml:space="preserve"> - extending the site boundaries with ghost cells</w:t>
      </w:r>
    </w:p>
    <w:p w:rsidR="006F7558" w:rsidRDefault="00C9032F" w:rsidP="000377F9">
      <w:pPr>
        <w:jc w:val="both"/>
      </w:pPr>
      <w:r>
        <w:t xml:space="preserve">The spread of fire at a given area on the forest site is determined by burning influences around and the nature of trees in the area. Hence, according to specification, </w:t>
      </w:r>
      <w:r w:rsidR="00D844C7">
        <w:t xml:space="preserve">to spread the fire, </w:t>
      </w:r>
      <w:r w:rsidR="008F0777">
        <w:t xml:space="preserve">during a loop across the site, if an area has trees, we check if any of its </w:t>
      </w:r>
      <w:r w:rsidR="00AF4155">
        <w:t>Moore neighbours (that is, trees at its north, north-east, east, south-east, south, south-west, west, and north-west)</w:t>
      </w:r>
      <w:r w:rsidR="00075169">
        <w:t xml:space="preserve"> </w:t>
      </w:r>
      <w:r w:rsidR="00075169">
        <w:fldChar w:fldCharType="begin"/>
      </w:r>
      <w:r w:rsidR="00075169">
        <w:instrText>ADDIN RW.CITE{{doc:6267a32e8f08621fba98cf3f Shiflet,AngelaB 2006}}</w:instrText>
      </w:r>
      <w:r w:rsidR="00075169">
        <w:fldChar w:fldCharType="separate"/>
      </w:r>
      <w:r w:rsidR="002254BC" w:rsidRPr="002254BC">
        <w:rPr>
          <w:rFonts w:ascii="Calibri" w:hAnsi="Calibri" w:cs="Calibri"/>
          <w:bCs/>
          <w:lang w:val="en-US"/>
        </w:rPr>
        <w:t>(</w:t>
      </w:r>
      <w:proofErr w:type="spellStart"/>
      <w:r w:rsidR="002254BC" w:rsidRPr="002254BC">
        <w:rPr>
          <w:rFonts w:ascii="Calibri" w:hAnsi="Calibri" w:cs="Calibri"/>
          <w:bCs/>
          <w:lang w:val="en-US"/>
        </w:rPr>
        <w:t>Shiflet</w:t>
      </w:r>
      <w:proofErr w:type="spellEnd"/>
      <w:r w:rsidR="002254BC" w:rsidRPr="002254BC">
        <w:rPr>
          <w:rFonts w:ascii="Calibri" w:hAnsi="Calibri" w:cs="Calibri"/>
          <w:bCs/>
          <w:lang w:val="en-US"/>
        </w:rPr>
        <w:t xml:space="preserve"> &amp; </w:t>
      </w:r>
      <w:proofErr w:type="spellStart"/>
      <w:r w:rsidR="002254BC" w:rsidRPr="002254BC">
        <w:rPr>
          <w:rFonts w:ascii="Calibri" w:hAnsi="Calibri" w:cs="Calibri"/>
          <w:bCs/>
          <w:lang w:val="en-US"/>
        </w:rPr>
        <w:t>Shiflet</w:t>
      </w:r>
      <w:proofErr w:type="spellEnd"/>
      <w:r w:rsidR="002254BC" w:rsidRPr="002254BC">
        <w:rPr>
          <w:rFonts w:ascii="Calibri" w:hAnsi="Calibri" w:cs="Calibri"/>
          <w:bCs/>
          <w:lang w:val="en-US"/>
        </w:rPr>
        <w:t>, 2006)</w:t>
      </w:r>
      <w:r w:rsidR="00075169">
        <w:fldChar w:fldCharType="end"/>
      </w:r>
      <w:r w:rsidR="00AF4155">
        <w:t xml:space="preserve"> contains a burning tree.</w:t>
      </w:r>
      <w:r w:rsidR="000922FF">
        <w:t xml:space="preserve"> If one o</w:t>
      </w:r>
      <w:r w:rsidR="00D17171">
        <w:t>f them contains a burning t</w:t>
      </w:r>
      <w:r w:rsidR="006F7558">
        <w:t>ree and the tree is not immune</w:t>
      </w:r>
      <w:r w:rsidR="00D17171">
        <w:t xml:space="preserve">, it </w:t>
      </w:r>
      <w:r w:rsidR="006F7558">
        <w:t>burns, otherwise</w:t>
      </w:r>
      <w:r w:rsidR="008878A4">
        <w:t>,</w:t>
      </w:r>
      <w:r w:rsidR="006F7558">
        <w:t xml:space="preserve"> it does not burn. In the same vein, if the probability of lightning strikes is true, and the tree is not immune, it burns, otherwise it does not burn.</w:t>
      </w:r>
    </w:p>
    <w:p w:rsidR="00AB3CD3" w:rsidRDefault="008878A4" w:rsidP="000377F9">
      <w:pPr>
        <w:jc w:val="both"/>
      </w:pPr>
      <w:r>
        <w:t>And else if an area</w:t>
      </w:r>
      <w:r w:rsidR="00A80717">
        <w:t xml:space="preserve"> has a burning tree, we set the grid position as an empty </w:t>
      </w:r>
      <w:r w:rsidR="002916F0">
        <w:t>land, because the tree burns</w:t>
      </w:r>
      <w:r w:rsidR="00F86233">
        <w:t xml:space="preserve"> to the ground, otherwise</w:t>
      </w:r>
      <w:r>
        <w:t>,</w:t>
      </w:r>
      <w:r w:rsidR="00F86233">
        <w:t xml:space="preserve"> the remaining area on the site remains empty if there’</w:t>
      </w:r>
      <w:r w:rsidR="00756F61">
        <w:t>s nothing there initially.</w:t>
      </w:r>
      <w:r w:rsidR="007F14E8">
        <w:t xml:space="preserve"> Please see the figure below.</w:t>
      </w:r>
    </w:p>
    <w:p w:rsidR="00F305EA" w:rsidRDefault="00451BFE" w:rsidP="00AB3CD3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276850" cy="3872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e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99" cy="38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F1" w:rsidRDefault="00E32ACD" w:rsidP="008B5C46">
      <w:pPr>
        <w:jc w:val="both"/>
      </w:pPr>
      <w:r>
        <w:lastRenderedPageBreak/>
        <w:t xml:space="preserve">To visualize each iteration of the spread of fire, I used the </w:t>
      </w:r>
      <w:proofErr w:type="spellStart"/>
      <w:r>
        <w:t>animate.FunctionA</w:t>
      </w:r>
      <w:r w:rsidR="00E75F6A">
        <w:t>nimation</w:t>
      </w:r>
      <w:proofErr w:type="spellEnd"/>
      <w:r w:rsidR="00E75F6A">
        <w:t xml:space="preserve"> function in </w:t>
      </w:r>
      <w:proofErr w:type="spellStart"/>
      <w:r w:rsidR="00E75F6A">
        <w:t>Matplotlib</w:t>
      </w:r>
      <w:proofErr w:type="spellEnd"/>
      <w:r w:rsidR="00E75F6A">
        <w:t xml:space="preserve"> to animate the forest fires. It first displays the initialized site and then calls the </w:t>
      </w:r>
      <w:proofErr w:type="spellStart"/>
      <w:r w:rsidR="00E75F6A">
        <w:t>VisualizeForestFireSpread</w:t>
      </w:r>
      <w:proofErr w:type="spellEnd"/>
      <w:r w:rsidR="00E75F6A">
        <w:t xml:space="preserve"> function which expands forest boundaries and spreads the fire at every iteration. </w:t>
      </w:r>
      <w:r w:rsidR="003A7473">
        <w:t>The spread was applied 60 times</w:t>
      </w:r>
      <w:r w:rsidR="006E16F0">
        <w:t xml:space="preserve"> for each of the forest sizes.</w:t>
      </w:r>
      <w:r w:rsidR="006E0AEF">
        <w:t xml:space="preserve"> </w:t>
      </w:r>
      <w:r w:rsidR="00C56257">
        <w:t>Please see the figure below for the code.</w:t>
      </w:r>
    </w:p>
    <w:p w:rsidR="008E2B91" w:rsidRDefault="00E32ACD" w:rsidP="008E2B91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543550" cy="260240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vis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33" cy="26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CD" w:rsidRDefault="008E2B91" w:rsidP="008E2B91">
      <w:pPr>
        <w:pStyle w:val="Caption"/>
        <w:jc w:val="center"/>
      </w:pPr>
      <w:r>
        <w:t xml:space="preserve">Figure </w:t>
      </w:r>
      <w:r w:rsidR="0017140E">
        <w:rPr>
          <w:noProof/>
        </w:rPr>
        <w:fldChar w:fldCharType="begin"/>
      </w:r>
      <w:r w:rsidR="0017140E">
        <w:rPr>
          <w:noProof/>
        </w:rPr>
        <w:instrText xml:space="preserve"> SEQ Figure \* ARABIC </w:instrText>
      </w:r>
      <w:r w:rsidR="0017140E">
        <w:rPr>
          <w:noProof/>
        </w:rPr>
        <w:fldChar w:fldCharType="separate"/>
      </w:r>
      <w:r w:rsidR="0052540F">
        <w:rPr>
          <w:noProof/>
        </w:rPr>
        <w:t>5</w:t>
      </w:r>
      <w:r w:rsidR="0017140E">
        <w:rPr>
          <w:noProof/>
        </w:rPr>
        <w:fldChar w:fldCharType="end"/>
      </w:r>
      <w:r>
        <w:t xml:space="preserve"> </w:t>
      </w:r>
      <w:r w:rsidR="008372CC">
        <w:t>–</w:t>
      </w:r>
      <w:r>
        <w:t xml:space="preserve"> animation</w:t>
      </w:r>
    </w:p>
    <w:p w:rsidR="008372CC" w:rsidRDefault="003352DC" w:rsidP="00F24783">
      <w:pPr>
        <w:pStyle w:val="Heading1"/>
      </w:pPr>
      <w:r>
        <w:t>Implementations</w:t>
      </w:r>
      <w:r w:rsidR="00C333E2">
        <w:t xml:space="preserve">, Results and </w:t>
      </w:r>
      <w:r w:rsidR="0088251A">
        <w:t>Evaluations</w:t>
      </w:r>
    </w:p>
    <w:p w:rsidR="003352DC" w:rsidRDefault="006E16F0" w:rsidP="008C1A88">
      <w:pPr>
        <w:jc w:val="both"/>
      </w:pPr>
      <w:r>
        <w:t xml:space="preserve">The </w:t>
      </w:r>
      <w:r w:rsidR="005063A2">
        <w:t xml:space="preserve">Forest fire </w:t>
      </w:r>
      <w:r>
        <w:t xml:space="preserve">simulation was </w:t>
      </w:r>
      <w:r w:rsidR="005063A2">
        <w:t>implemented in two ways, sequentially and by means of parallelization.</w:t>
      </w:r>
      <w:r w:rsidR="00AC586A">
        <w:t xml:space="preserve"> The essence of parallelization is the help utilize the processing resources available on the computer efficiently and make the simulations fast. By parallelizing the functions, significant improvements were recorded.</w:t>
      </w:r>
      <w:r w:rsidR="00CB4648">
        <w:t xml:space="preserve"> </w:t>
      </w:r>
      <w:r w:rsidR="00AC586A">
        <w:t>See the table below for the time used for a single iteration of forest for each forest size. That is,</w:t>
      </w:r>
      <w:r w:rsidR="00343128">
        <w:t xml:space="preserve"> the time</w:t>
      </w:r>
      <w:r w:rsidR="00B41306">
        <w:t xml:space="preserve"> in seconds</w:t>
      </w:r>
      <w:r w:rsidR="00343128">
        <w:t xml:space="preserve"> it takes to initialize the forest, extend the boundaries of the site and spread the fire. This was captured for all forest sizes as displayed in the table below.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295590" w:rsidTr="00B41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:rsidR="00295590" w:rsidRDefault="00295590" w:rsidP="008372CC">
            <w:r>
              <w:t>Forest Sizes</w:t>
            </w:r>
          </w:p>
        </w:tc>
        <w:tc>
          <w:tcPr>
            <w:tcW w:w="3210" w:type="dxa"/>
          </w:tcPr>
          <w:p w:rsidR="00295590" w:rsidRDefault="00295590" w:rsidP="00837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</w:t>
            </w:r>
          </w:p>
        </w:tc>
        <w:tc>
          <w:tcPr>
            <w:tcW w:w="3210" w:type="dxa"/>
          </w:tcPr>
          <w:p w:rsidR="00295590" w:rsidRDefault="00295590" w:rsidP="00837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</w:t>
            </w:r>
          </w:p>
        </w:tc>
      </w:tr>
      <w:tr w:rsidR="00295590" w:rsidTr="00B4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5590" w:rsidRDefault="00CC464D" w:rsidP="008372CC">
            <w:r>
              <w:t>100 * 100</w:t>
            </w:r>
          </w:p>
        </w:tc>
        <w:tc>
          <w:tcPr>
            <w:tcW w:w="3210" w:type="dxa"/>
          </w:tcPr>
          <w:p w:rsidR="00295590" w:rsidRDefault="00B41306" w:rsidP="0083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0.085</w:t>
            </w:r>
          </w:p>
        </w:tc>
        <w:tc>
          <w:tcPr>
            <w:tcW w:w="3210" w:type="dxa"/>
          </w:tcPr>
          <w:p w:rsidR="00295590" w:rsidRDefault="00EA50AA" w:rsidP="0083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</w:t>
            </w:r>
          </w:p>
        </w:tc>
      </w:tr>
      <w:tr w:rsidR="00295590" w:rsidTr="00B41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5590" w:rsidRDefault="00CC464D" w:rsidP="008372CC">
            <w:r>
              <w:t>400 * 400</w:t>
            </w:r>
          </w:p>
        </w:tc>
        <w:tc>
          <w:tcPr>
            <w:tcW w:w="3210" w:type="dxa"/>
          </w:tcPr>
          <w:p w:rsidR="00295590" w:rsidRDefault="00CE3DE2" w:rsidP="0083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DE2">
              <w:t>0.65</w:t>
            </w:r>
          </w:p>
        </w:tc>
        <w:tc>
          <w:tcPr>
            <w:tcW w:w="3210" w:type="dxa"/>
          </w:tcPr>
          <w:p w:rsidR="00295590" w:rsidRDefault="00CE3DE2" w:rsidP="0083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DE2">
              <w:t>0.61</w:t>
            </w:r>
          </w:p>
        </w:tc>
      </w:tr>
      <w:tr w:rsidR="00295590" w:rsidTr="00B4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C464D" w:rsidRDefault="00CC464D" w:rsidP="008372CC">
            <w:r>
              <w:t>800 * 800</w:t>
            </w:r>
          </w:p>
        </w:tc>
        <w:tc>
          <w:tcPr>
            <w:tcW w:w="3210" w:type="dxa"/>
          </w:tcPr>
          <w:p w:rsidR="00295590" w:rsidRDefault="008D4532" w:rsidP="0083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2.66</w:t>
            </w:r>
          </w:p>
        </w:tc>
        <w:tc>
          <w:tcPr>
            <w:tcW w:w="3210" w:type="dxa"/>
          </w:tcPr>
          <w:p w:rsidR="00295590" w:rsidRDefault="008D4532" w:rsidP="0083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2.44</w:t>
            </w:r>
          </w:p>
        </w:tc>
      </w:tr>
      <w:tr w:rsidR="00295590" w:rsidTr="00B41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5590" w:rsidRDefault="00CC464D" w:rsidP="008372CC">
            <w:r>
              <w:t>1000 * 1000</w:t>
            </w:r>
          </w:p>
        </w:tc>
        <w:tc>
          <w:tcPr>
            <w:tcW w:w="3210" w:type="dxa"/>
          </w:tcPr>
          <w:p w:rsidR="00295590" w:rsidRDefault="009A6BC1" w:rsidP="0083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BC1">
              <w:t>4.66</w:t>
            </w:r>
          </w:p>
        </w:tc>
        <w:tc>
          <w:tcPr>
            <w:tcW w:w="3210" w:type="dxa"/>
          </w:tcPr>
          <w:p w:rsidR="00295590" w:rsidRDefault="009A6BC1" w:rsidP="0083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6BC1">
              <w:t>3.76</w:t>
            </w:r>
          </w:p>
        </w:tc>
      </w:tr>
      <w:tr w:rsidR="00295590" w:rsidTr="00B41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5590" w:rsidRDefault="00CC464D" w:rsidP="008372CC">
            <w:r>
              <w:t>1200 * 1200</w:t>
            </w:r>
          </w:p>
        </w:tc>
        <w:tc>
          <w:tcPr>
            <w:tcW w:w="3210" w:type="dxa"/>
          </w:tcPr>
          <w:p w:rsidR="00295590" w:rsidRDefault="0074425D" w:rsidP="0083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5D">
              <w:t>6.52</w:t>
            </w:r>
          </w:p>
        </w:tc>
        <w:tc>
          <w:tcPr>
            <w:tcW w:w="3210" w:type="dxa"/>
          </w:tcPr>
          <w:p w:rsidR="00295590" w:rsidRDefault="0074425D" w:rsidP="00837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25D">
              <w:t>5.92</w:t>
            </w:r>
          </w:p>
        </w:tc>
      </w:tr>
      <w:tr w:rsidR="00295590" w:rsidTr="00B41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95590" w:rsidRDefault="00CC464D" w:rsidP="008372CC">
            <w:r>
              <w:t>2000 * 2000</w:t>
            </w:r>
          </w:p>
        </w:tc>
        <w:tc>
          <w:tcPr>
            <w:tcW w:w="3210" w:type="dxa"/>
          </w:tcPr>
          <w:p w:rsidR="00295590" w:rsidRDefault="009721A4" w:rsidP="0083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1A4">
              <w:t>17.28</w:t>
            </w:r>
          </w:p>
        </w:tc>
        <w:tc>
          <w:tcPr>
            <w:tcW w:w="3210" w:type="dxa"/>
          </w:tcPr>
          <w:p w:rsidR="00295590" w:rsidRDefault="00DD1349" w:rsidP="00837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17.07</w:t>
            </w:r>
          </w:p>
        </w:tc>
      </w:tr>
    </w:tbl>
    <w:p w:rsidR="00A317EA" w:rsidRDefault="00A317EA" w:rsidP="00534FB2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172075" cy="301942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17EA" w:rsidRDefault="00A317EA" w:rsidP="008372CC"/>
    <w:p w:rsidR="00A45E63" w:rsidRDefault="00CB4648" w:rsidP="00CA3078">
      <w:pPr>
        <w:jc w:val="both"/>
      </w:pPr>
      <w:r>
        <w:t xml:space="preserve">The parallelization was implemented using the </w:t>
      </w:r>
      <w:proofErr w:type="spellStart"/>
      <w:r>
        <w:t>Numba</w:t>
      </w:r>
      <w:proofErr w:type="spellEnd"/>
      <w:r>
        <w:t xml:space="preserve"> python </w:t>
      </w:r>
      <w:r w:rsidR="00735C50">
        <w:t>package that</w:t>
      </w:r>
      <w:r>
        <w:t xml:space="preserve"> works by compiling the functions before </w:t>
      </w:r>
      <w:r w:rsidR="008A7153">
        <w:t>executing</w:t>
      </w:r>
      <w:r>
        <w:t>.</w:t>
      </w:r>
      <w:r w:rsidR="00860162">
        <w:t xml:space="preserve"> </w:t>
      </w:r>
      <w:r w:rsidR="00C813A5">
        <w:t xml:space="preserve">And time was captured using the time python library before and after the </w:t>
      </w:r>
      <w:r w:rsidR="00FE16E3">
        <w:t>execution</w:t>
      </w:r>
      <w:r w:rsidR="00C813A5">
        <w:t xml:space="preserve">. </w:t>
      </w:r>
      <w:r w:rsidR="00860162">
        <w:t>Below is an example</w:t>
      </w:r>
      <w:r w:rsidR="00C048CE">
        <w:t xml:space="preserve"> of</w:t>
      </w:r>
      <w:r w:rsidR="00860162">
        <w:t xml:space="preserve"> how a function was parallelized with </w:t>
      </w:r>
      <w:proofErr w:type="spellStart"/>
      <w:r w:rsidR="00860162">
        <w:t>Numba</w:t>
      </w:r>
      <w:proofErr w:type="spellEnd"/>
      <w:r w:rsidR="00860162">
        <w:t>.</w:t>
      </w:r>
    </w:p>
    <w:p w:rsidR="005D252E" w:rsidRDefault="005D252E" w:rsidP="005D252E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224075" cy="376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alleliz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97" cy="37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2E" w:rsidRDefault="005D252E" w:rsidP="005D252E">
      <w:pPr>
        <w:pStyle w:val="Caption"/>
        <w:jc w:val="center"/>
      </w:pPr>
      <w:r>
        <w:t xml:space="preserve">Figure </w:t>
      </w:r>
      <w:r w:rsidR="0017140E">
        <w:rPr>
          <w:noProof/>
        </w:rPr>
        <w:fldChar w:fldCharType="begin"/>
      </w:r>
      <w:r w:rsidR="0017140E">
        <w:rPr>
          <w:noProof/>
        </w:rPr>
        <w:instrText xml:space="preserve"> SEQ Figure \* ARABIC </w:instrText>
      </w:r>
      <w:r w:rsidR="0017140E">
        <w:rPr>
          <w:noProof/>
        </w:rPr>
        <w:fldChar w:fldCharType="separate"/>
      </w:r>
      <w:r w:rsidR="0052540F">
        <w:rPr>
          <w:noProof/>
        </w:rPr>
        <w:t>6</w:t>
      </w:r>
      <w:r w:rsidR="0017140E">
        <w:rPr>
          <w:noProof/>
        </w:rPr>
        <w:fldChar w:fldCharType="end"/>
      </w:r>
      <w:r>
        <w:t xml:space="preserve"> </w:t>
      </w:r>
      <w:r w:rsidR="00547CFB">
        <w:t>–</w:t>
      </w:r>
      <w:r>
        <w:t xml:space="preserve"> Parall</w:t>
      </w:r>
      <w:r w:rsidR="00AD0FAC">
        <w:t>el</w:t>
      </w:r>
      <w:r>
        <w:t>ization</w:t>
      </w:r>
    </w:p>
    <w:p w:rsidR="00A45E63" w:rsidRDefault="00A45E63" w:rsidP="00A45E63">
      <w:pPr>
        <w:keepNext/>
      </w:pPr>
      <w:r>
        <w:rPr>
          <w:noProof/>
          <w:lang w:eastAsia="en-GB"/>
        </w:rPr>
        <w:lastRenderedPageBreak/>
        <w:drawing>
          <wp:inline distT="0" distB="0" distL="0" distR="0">
            <wp:extent cx="6120765" cy="1337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e 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FB" w:rsidRDefault="00A45E63" w:rsidP="00A45E63">
      <w:pPr>
        <w:pStyle w:val="Caption"/>
        <w:jc w:val="center"/>
      </w:pPr>
      <w:r>
        <w:t xml:space="preserve">Figure </w:t>
      </w:r>
      <w:r w:rsidR="0017140E">
        <w:rPr>
          <w:noProof/>
        </w:rPr>
        <w:fldChar w:fldCharType="begin"/>
      </w:r>
      <w:r w:rsidR="0017140E">
        <w:rPr>
          <w:noProof/>
        </w:rPr>
        <w:instrText xml:space="preserve"> SEQ Figure \* ARABIC </w:instrText>
      </w:r>
      <w:r w:rsidR="0017140E">
        <w:rPr>
          <w:noProof/>
        </w:rPr>
        <w:fldChar w:fldCharType="separate"/>
      </w:r>
      <w:r w:rsidR="0052540F">
        <w:rPr>
          <w:noProof/>
        </w:rPr>
        <w:t>7</w:t>
      </w:r>
      <w:r w:rsidR="0017140E">
        <w:rPr>
          <w:noProof/>
        </w:rPr>
        <w:fldChar w:fldCharType="end"/>
      </w:r>
      <w:r>
        <w:t xml:space="preserve"> </w:t>
      </w:r>
      <w:r w:rsidR="006A7B55">
        <w:t>–</w:t>
      </w:r>
      <w:r>
        <w:t xml:space="preserve"> </w:t>
      </w:r>
      <w:r w:rsidR="006A7B55">
        <w:t xml:space="preserve">How time was </w:t>
      </w:r>
      <w:r>
        <w:t>capture</w:t>
      </w:r>
      <w:r w:rsidR="006A7B55">
        <w:t>d</w:t>
      </w:r>
    </w:p>
    <w:p w:rsidR="00C33A44" w:rsidRDefault="00C33A44" w:rsidP="00C33A44"/>
    <w:p w:rsidR="00F46B75" w:rsidRDefault="00F46B75" w:rsidP="00F46B75">
      <w:pPr>
        <w:pStyle w:val="Heading1"/>
      </w:pPr>
      <w:r>
        <w:t>Conclusion</w:t>
      </w:r>
    </w:p>
    <w:p w:rsidR="00F46B75" w:rsidRDefault="00C048CE" w:rsidP="00075169">
      <w:pPr>
        <w:jc w:val="both"/>
      </w:pPr>
      <w:r>
        <w:t>T</w:t>
      </w:r>
      <w:r w:rsidR="0033239C">
        <w:t>he simulation exercise</w:t>
      </w:r>
      <w:r w:rsidR="00D611CC">
        <w:t xml:space="preserve"> shows that parallelization improves simulation time, which is a new exposure</w:t>
      </w:r>
      <w:r w:rsidR="000C3A80">
        <w:t xml:space="preserve"> for me</w:t>
      </w:r>
      <w:r w:rsidR="0033239C">
        <w:t xml:space="preserve"> from this activity and s</w:t>
      </w:r>
      <w:r w:rsidR="00D611CC">
        <w:t>eeing how much time difference it makes. However, for simulation of</w:t>
      </w:r>
      <w:r w:rsidR="00A66498">
        <w:t xml:space="preserve"> larger forest</w:t>
      </w:r>
      <w:r w:rsidR="00D611CC">
        <w:t xml:space="preserve"> sites, I would recommend using </w:t>
      </w:r>
      <w:r w:rsidR="002924DD">
        <w:t>faster systems with more</w:t>
      </w:r>
      <w:r w:rsidR="0033239C">
        <w:t xml:space="preserve"> processing</w:t>
      </w:r>
      <w:r w:rsidR="002924DD">
        <w:t xml:space="preserve"> cores to make the speed faster.</w:t>
      </w:r>
    </w:p>
    <w:p w:rsidR="00075169" w:rsidRDefault="00075169" w:rsidP="00075169">
      <w:pPr>
        <w:pStyle w:val="Heading1"/>
      </w:pPr>
      <w:r>
        <w:t>References</w:t>
      </w:r>
    </w:p>
    <w:p w:rsidR="002254BC" w:rsidRPr="002254BC" w:rsidRDefault="00075169" w:rsidP="002254BC">
      <w:pPr>
        <w:pStyle w:val="NormalWeb"/>
        <w:rPr>
          <w:rFonts w:ascii="Calibri" w:hAnsi="Calibri" w:cs="Calibri"/>
          <w:sz w:val="22"/>
        </w:rPr>
      </w:pPr>
      <w:r>
        <w:fldChar w:fldCharType="begin"/>
      </w:r>
      <w:r w:rsidR="002254BC">
        <w:instrText>ADDIN RW.BIB</w:instrText>
      </w:r>
      <w:r>
        <w:fldChar w:fldCharType="separate"/>
      </w:r>
      <w:r w:rsidR="002254BC" w:rsidRPr="002254BC">
        <w:rPr>
          <w:rFonts w:ascii="Calibri" w:hAnsi="Calibri" w:cs="Calibri"/>
          <w:sz w:val="22"/>
        </w:rPr>
        <w:t xml:space="preserve">Harris, J. &amp; Stocker, H. (1997) </w:t>
      </w:r>
      <w:proofErr w:type="gramStart"/>
      <w:r w:rsidR="002254BC" w:rsidRPr="002254BC">
        <w:rPr>
          <w:rFonts w:ascii="Calibri" w:hAnsi="Calibri" w:cs="Calibri"/>
          <w:i/>
          <w:iCs/>
          <w:sz w:val="22"/>
        </w:rPr>
        <w:t>The</w:t>
      </w:r>
      <w:proofErr w:type="gramEnd"/>
      <w:r w:rsidR="002254BC" w:rsidRPr="002254BC">
        <w:rPr>
          <w:rFonts w:ascii="Calibri" w:hAnsi="Calibri" w:cs="Calibri"/>
          <w:i/>
          <w:iCs/>
          <w:sz w:val="22"/>
        </w:rPr>
        <w:t xml:space="preserve"> handbook of mathematics and computational science</w:t>
      </w:r>
      <w:r w:rsidR="002254BC" w:rsidRPr="002254BC">
        <w:rPr>
          <w:rFonts w:ascii="Calibri" w:hAnsi="Calibri" w:cs="Calibri"/>
          <w:sz w:val="22"/>
        </w:rPr>
        <w:t>. New York: Springer.</w:t>
      </w:r>
    </w:p>
    <w:p w:rsidR="002254BC" w:rsidRPr="002254BC" w:rsidRDefault="002254BC" w:rsidP="002254BC">
      <w:pPr>
        <w:pStyle w:val="NormalWeb"/>
        <w:rPr>
          <w:rFonts w:ascii="Calibri" w:hAnsi="Calibri" w:cs="Calibri"/>
          <w:sz w:val="22"/>
        </w:rPr>
      </w:pPr>
      <w:proofErr w:type="spellStart"/>
      <w:r w:rsidRPr="002254BC">
        <w:rPr>
          <w:rFonts w:ascii="Calibri" w:hAnsi="Calibri" w:cs="Calibri"/>
          <w:sz w:val="22"/>
        </w:rPr>
        <w:t>Shiflet</w:t>
      </w:r>
      <w:proofErr w:type="spellEnd"/>
      <w:r w:rsidRPr="002254BC">
        <w:rPr>
          <w:rFonts w:ascii="Calibri" w:hAnsi="Calibri" w:cs="Calibri"/>
          <w:sz w:val="22"/>
        </w:rPr>
        <w:t xml:space="preserve">, A. B. &amp; </w:t>
      </w:r>
      <w:proofErr w:type="spellStart"/>
      <w:r w:rsidRPr="002254BC">
        <w:rPr>
          <w:rFonts w:ascii="Calibri" w:hAnsi="Calibri" w:cs="Calibri"/>
          <w:sz w:val="22"/>
        </w:rPr>
        <w:t>Shiflet</w:t>
      </w:r>
      <w:proofErr w:type="spellEnd"/>
      <w:r w:rsidRPr="002254BC">
        <w:rPr>
          <w:rFonts w:ascii="Calibri" w:hAnsi="Calibri" w:cs="Calibri"/>
          <w:sz w:val="22"/>
        </w:rPr>
        <w:t xml:space="preserve">, G. W. (2006) </w:t>
      </w:r>
      <w:r w:rsidRPr="002254BC">
        <w:rPr>
          <w:rFonts w:ascii="Calibri" w:hAnsi="Calibri" w:cs="Calibri"/>
          <w:i/>
          <w:iCs/>
          <w:sz w:val="22"/>
        </w:rPr>
        <w:t xml:space="preserve">Introduction to computational science: </w:t>
      </w:r>
      <w:proofErr w:type="spellStart"/>
      <w:r w:rsidRPr="002254BC">
        <w:rPr>
          <w:rFonts w:ascii="Calibri" w:hAnsi="Calibri" w:cs="Calibri"/>
          <w:i/>
          <w:iCs/>
          <w:sz w:val="22"/>
        </w:rPr>
        <w:t>Modeling</w:t>
      </w:r>
      <w:proofErr w:type="spellEnd"/>
      <w:r w:rsidRPr="002254BC">
        <w:rPr>
          <w:rFonts w:ascii="Calibri" w:hAnsi="Calibri" w:cs="Calibri"/>
          <w:i/>
          <w:iCs/>
          <w:sz w:val="22"/>
        </w:rPr>
        <w:t xml:space="preserve"> and simulation for the sciences</w:t>
      </w:r>
      <w:r w:rsidRPr="002254BC">
        <w:rPr>
          <w:rFonts w:ascii="Calibri" w:hAnsi="Calibri" w:cs="Calibri"/>
          <w:sz w:val="22"/>
        </w:rPr>
        <w:t>. Princeton; Oxford: Princeton University Press.</w:t>
      </w:r>
    </w:p>
    <w:p w:rsidR="00075169" w:rsidRPr="00C33A44" w:rsidRDefault="002254BC" w:rsidP="002254BC">
      <w:r w:rsidRPr="002254BC">
        <w:rPr>
          <w:rFonts w:ascii="Calibri" w:eastAsia="Times New Roman" w:hAnsi="Calibri" w:cs="Calibri"/>
        </w:rPr>
        <w:t> </w:t>
      </w:r>
      <w:r w:rsidR="00075169">
        <w:fldChar w:fldCharType="end"/>
      </w:r>
      <w:bookmarkStart w:id="0" w:name="_GoBack"/>
      <w:bookmarkEnd w:id="0"/>
    </w:p>
    <w:sectPr w:rsidR="00075169" w:rsidRPr="00C33A44" w:rsidSect="00991DAB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DU3tzAwtrS0sLRU0lEKTi0uzszPAykwqwUAmSAmvCwAAAA="/>
  </w:docVars>
  <w:rsids>
    <w:rsidRoot w:val="00991DAB"/>
    <w:rsid w:val="00004457"/>
    <w:rsid w:val="000377F9"/>
    <w:rsid w:val="000628ED"/>
    <w:rsid w:val="00075169"/>
    <w:rsid w:val="000922FF"/>
    <w:rsid w:val="00095BE1"/>
    <w:rsid w:val="000B04ED"/>
    <w:rsid w:val="000B6DBA"/>
    <w:rsid w:val="000C3A80"/>
    <w:rsid w:val="000D684C"/>
    <w:rsid w:val="00111102"/>
    <w:rsid w:val="00133520"/>
    <w:rsid w:val="0017140E"/>
    <w:rsid w:val="0019001E"/>
    <w:rsid w:val="001D0CAD"/>
    <w:rsid w:val="002254BC"/>
    <w:rsid w:val="00225AAF"/>
    <w:rsid w:val="002404F7"/>
    <w:rsid w:val="00254FD1"/>
    <w:rsid w:val="00261A3A"/>
    <w:rsid w:val="00262B06"/>
    <w:rsid w:val="002916F0"/>
    <w:rsid w:val="002924DD"/>
    <w:rsid w:val="00295590"/>
    <w:rsid w:val="002D7129"/>
    <w:rsid w:val="002E585D"/>
    <w:rsid w:val="003309A9"/>
    <w:rsid w:val="0033239C"/>
    <w:rsid w:val="00333FBC"/>
    <w:rsid w:val="003352DC"/>
    <w:rsid w:val="00343128"/>
    <w:rsid w:val="003A4B9B"/>
    <w:rsid w:val="003A7473"/>
    <w:rsid w:val="003B1172"/>
    <w:rsid w:val="003B45A5"/>
    <w:rsid w:val="003B7215"/>
    <w:rsid w:val="003F093D"/>
    <w:rsid w:val="003F5A2B"/>
    <w:rsid w:val="00451866"/>
    <w:rsid w:val="00451BFE"/>
    <w:rsid w:val="00452CEC"/>
    <w:rsid w:val="004574B3"/>
    <w:rsid w:val="00491472"/>
    <w:rsid w:val="0049413B"/>
    <w:rsid w:val="004A26EB"/>
    <w:rsid w:val="004C042B"/>
    <w:rsid w:val="004E1EF5"/>
    <w:rsid w:val="004E3AF3"/>
    <w:rsid w:val="004F1647"/>
    <w:rsid w:val="005063A2"/>
    <w:rsid w:val="005113EE"/>
    <w:rsid w:val="0052540F"/>
    <w:rsid w:val="00534FB2"/>
    <w:rsid w:val="00547CFB"/>
    <w:rsid w:val="00561BF5"/>
    <w:rsid w:val="00572E38"/>
    <w:rsid w:val="005B264A"/>
    <w:rsid w:val="005D252E"/>
    <w:rsid w:val="005F18D7"/>
    <w:rsid w:val="005F5FAD"/>
    <w:rsid w:val="005F7149"/>
    <w:rsid w:val="006014D3"/>
    <w:rsid w:val="0060649A"/>
    <w:rsid w:val="006122CB"/>
    <w:rsid w:val="0063229D"/>
    <w:rsid w:val="00657ED6"/>
    <w:rsid w:val="006A7B55"/>
    <w:rsid w:val="006B7E72"/>
    <w:rsid w:val="006C5B34"/>
    <w:rsid w:val="006E0AEF"/>
    <w:rsid w:val="006E16F0"/>
    <w:rsid w:val="006F2F3D"/>
    <w:rsid w:val="006F5134"/>
    <w:rsid w:val="006F7558"/>
    <w:rsid w:val="007002C2"/>
    <w:rsid w:val="00713922"/>
    <w:rsid w:val="00732044"/>
    <w:rsid w:val="00735C50"/>
    <w:rsid w:val="007431AE"/>
    <w:rsid w:val="0074425D"/>
    <w:rsid w:val="00746F31"/>
    <w:rsid w:val="00756F61"/>
    <w:rsid w:val="00757FAF"/>
    <w:rsid w:val="00766247"/>
    <w:rsid w:val="007B7DC7"/>
    <w:rsid w:val="007C0EFD"/>
    <w:rsid w:val="007F14E8"/>
    <w:rsid w:val="008372CC"/>
    <w:rsid w:val="00852A51"/>
    <w:rsid w:val="00852AE9"/>
    <w:rsid w:val="00860162"/>
    <w:rsid w:val="008822A7"/>
    <w:rsid w:val="0088251A"/>
    <w:rsid w:val="008878A4"/>
    <w:rsid w:val="008A1012"/>
    <w:rsid w:val="008A7153"/>
    <w:rsid w:val="008B08DD"/>
    <w:rsid w:val="008B5C46"/>
    <w:rsid w:val="008C1A88"/>
    <w:rsid w:val="008D2E37"/>
    <w:rsid w:val="008D4532"/>
    <w:rsid w:val="008D7D6B"/>
    <w:rsid w:val="008E2B91"/>
    <w:rsid w:val="008F0777"/>
    <w:rsid w:val="0091153D"/>
    <w:rsid w:val="009141B3"/>
    <w:rsid w:val="00933050"/>
    <w:rsid w:val="009430F1"/>
    <w:rsid w:val="0094316E"/>
    <w:rsid w:val="00951DA6"/>
    <w:rsid w:val="00962F1A"/>
    <w:rsid w:val="009653C4"/>
    <w:rsid w:val="009721A4"/>
    <w:rsid w:val="00991DAB"/>
    <w:rsid w:val="009A2986"/>
    <w:rsid w:val="009A6BC1"/>
    <w:rsid w:val="009B303E"/>
    <w:rsid w:val="009E5BE4"/>
    <w:rsid w:val="009F082E"/>
    <w:rsid w:val="00A317EA"/>
    <w:rsid w:val="00A417F1"/>
    <w:rsid w:val="00A45E63"/>
    <w:rsid w:val="00A622DD"/>
    <w:rsid w:val="00A66498"/>
    <w:rsid w:val="00A80717"/>
    <w:rsid w:val="00A9422C"/>
    <w:rsid w:val="00AB3CD3"/>
    <w:rsid w:val="00AC3690"/>
    <w:rsid w:val="00AC586A"/>
    <w:rsid w:val="00AD0FAC"/>
    <w:rsid w:val="00AF4155"/>
    <w:rsid w:val="00B14170"/>
    <w:rsid w:val="00B16E4D"/>
    <w:rsid w:val="00B40454"/>
    <w:rsid w:val="00B41306"/>
    <w:rsid w:val="00B54961"/>
    <w:rsid w:val="00B60CEC"/>
    <w:rsid w:val="00B71719"/>
    <w:rsid w:val="00BA3BF2"/>
    <w:rsid w:val="00BA79E6"/>
    <w:rsid w:val="00BC1A43"/>
    <w:rsid w:val="00BD6D3D"/>
    <w:rsid w:val="00C048CE"/>
    <w:rsid w:val="00C322AF"/>
    <w:rsid w:val="00C333E2"/>
    <w:rsid w:val="00C33A44"/>
    <w:rsid w:val="00C53E21"/>
    <w:rsid w:val="00C56257"/>
    <w:rsid w:val="00C813A5"/>
    <w:rsid w:val="00C9032F"/>
    <w:rsid w:val="00C912B7"/>
    <w:rsid w:val="00CA3078"/>
    <w:rsid w:val="00CB4648"/>
    <w:rsid w:val="00CC464D"/>
    <w:rsid w:val="00CE1422"/>
    <w:rsid w:val="00CE32C4"/>
    <w:rsid w:val="00CE3DE2"/>
    <w:rsid w:val="00CE4AE8"/>
    <w:rsid w:val="00D17171"/>
    <w:rsid w:val="00D611CC"/>
    <w:rsid w:val="00D844C7"/>
    <w:rsid w:val="00D9706E"/>
    <w:rsid w:val="00DB4A63"/>
    <w:rsid w:val="00DD1349"/>
    <w:rsid w:val="00E16744"/>
    <w:rsid w:val="00E16CE6"/>
    <w:rsid w:val="00E32ACD"/>
    <w:rsid w:val="00E40191"/>
    <w:rsid w:val="00E46C4C"/>
    <w:rsid w:val="00E66424"/>
    <w:rsid w:val="00E75F6A"/>
    <w:rsid w:val="00EA50AA"/>
    <w:rsid w:val="00F048B6"/>
    <w:rsid w:val="00F24783"/>
    <w:rsid w:val="00F305EA"/>
    <w:rsid w:val="00F35E0F"/>
    <w:rsid w:val="00F46B75"/>
    <w:rsid w:val="00F70864"/>
    <w:rsid w:val="00F85B60"/>
    <w:rsid w:val="00F86233"/>
    <w:rsid w:val="00FB3588"/>
    <w:rsid w:val="00FB46F3"/>
    <w:rsid w:val="00FD5F02"/>
    <w:rsid w:val="00FD61A7"/>
    <w:rsid w:val="00FE16E3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46D2F-0E1D-47A6-8CED-D3F2DAB8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2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58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16C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413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0751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Parallization vs Sequential Implementations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SEQUENTIAL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100 * 100</c:v>
                </c:pt>
                <c:pt idx="1">
                  <c:v>400 * 400</c:v>
                </c:pt>
                <c:pt idx="2">
                  <c:v>800 * 800</c:v>
                </c:pt>
                <c:pt idx="3">
                  <c:v>1000 * 1000</c:v>
                </c:pt>
                <c:pt idx="4">
                  <c:v>1200 * 1200</c:v>
                </c:pt>
                <c:pt idx="5">
                  <c:v>2000 * 2000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8.5000000000000006E-2</c:v>
                </c:pt>
                <c:pt idx="1">
                  <c:v>0.65</c:v>
                </c:pt>
                <c:pt idx="2">
                  <c:v>2.66</c:v>
                </c:pt>
                <c:pt idx="3">
                  <c:v>4.66</c:v>
                </c:pt>
                <c:pt idx="4">
                  <c:v>6.52</c:v>
                </c:pt>
                <c:pt idx="5">
                  <c:v>17.28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100 * 100</c:v>
                </c:pt>
                <c:pt idx="1">
                  <c:v>400 * 400</c:v>
                </c:pt>
                <c:pt idx="2">
                  <c:v>800 * 800</c:v>
                </c:pt>
                <c:pt idx="3">
                  <c:v>1000 * 1000</c:v>
                </c:pt>
                <c:pt idx="4">
                  <c:v>1200 * 1200</c:v>
                </c:pt>
                <c:pt idx="5">
                  <c:v>2000 * 2000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6.0999999999999999E-2</c:v>
                </c:pt>
                <c:pt idx="1">
                  <c:v>0.61</c:v>
                </c:pt>
                <c:pt idx="2">
                  <c:v>2.44</c:v>
                </c:pt>
                <c:pt idx="3">
                  <c:v>3.76</c:v>
                </c:pt>
                <c:pt idx="4">
                  <c:v>5.92</c:v>
                </c:pt>
                <c:pt idx="5">
                  <c:v>17.07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071842432"/>
        <c:axId val="1071848704"/>
      </c:barChart>
      <c:catAx>
        <c:axId val="1071842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848704"/>
        <c:crosses val="autoZero"/>
        <c:auto val="1"/>
        <c:lblAlgn val="ctr"/>
        <c:lblOffset val="100"/>
        <c:noMultiLvlLbl val="0"/>
      </c:catAx>
      <c:valAx>
        <c:axId val="107184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184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User001</cp:lastModifiedBy>
  <cp:revision>171</cp:revision>
  <cp:lastPrinted>2022-04-28T11:27:00Z</cp:lastPrinted>
  <dcterms:created xsi:type="dcterms:W3CDTF">2022-04-16T20:54:00Z</dcterms:created>
  <dcterms:modified xsi:type="dcterms:W3CDTF">2022-04-28T11:27:00Z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user:615eca508f087ebda4da6039</vt:lpwstr>
  </property>
  <property fmtid="{D5CDD505-2E9C-101B-9397-08002B2CF9AE}" pid="3" name="WnCSubscriberId">
    <vt:lpwstr>0</vt:lpwstr>
  </property>
  <property fmtid="{D5CDD505-2E9C-101B-9397-08002B2CF9AE}" pid="4" name="WnCOutputStyleId">
    <vt:lpwstr>rwuserstyle:5bf2c4ff7213d507b24ca3c3</vt:lpwstr>
  </property>
  <property fmtid="{D5CDD505-2E9C-101B-9397-08002B2CF9AE}" pid="5" name="RWProductId">
    <vt:lpwstr>Flow</vt:lpwstr>
  </property>
  <property fmtid="{D5CDD505-2E9C-101B-9397-08002B2CF9AE}" pid="6" name="WnC4Folder">
    <vt:lpwstr>Documents///Modelling report on the Simulation of Forest Fire</vt:lpwstr>
  </property>
</Properties>
</file>