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D2D26"/>
          <w:sz w:val="68"/>
        </w:rPr>
        <w:t>OLWI</w:t>
      </w:r>
    </w:p>
    <w:p>
      <w:pPr>
        <w:jc w:val="center"/>
      </w:pPr>
      <w:r>
        <w:rPr>
          <w:b/>
          <w:color w:val="496954"/>
          <w:sz w:val="28"/>
        </w:rPr>
        <w:t>Briefing de Marca, Posicionamento e Comunicação</w:t>
      </w:r>
    </w:p>
    <w:p>
      <w:pPr>
        <w:jc w:val="center"/>
      </w:pPr>
      <w:r>
        <w:rPr>
          <w:b/>
          <w:sz w:val="24"/>
        </w:rPr>
        <w:t>Consultoria hands-on de Produto e Tecnologia</w:t>
      </w:r>
    </w:p>
    <w:p>
      <w:pPr>
        <w:jc w:val="center"/>
      </w:pPr>
      <w:r>
        <w:rPr>
          <w:i/>
          <w:sz w:val="22"/>
        </w:rPr>
        <w:t>Think. Test. Build. Improve.</w:t>
      </w:r>
    </w:p>
    <w:p>
      <w:pPr>
        <w:pStyle w:val="Heading1"/>
        <w:spacing w:before="200" w:after="100"/>
      </w:pPr>
      <w:r>
        <w:t>1. A marca OLWI</w:t>
      </w:r>
    </w:p>
    <w:p>
      <w:r>
        <w:t>OLWI é uma consultoria hands-on de produto e tecnologia. Ajudamos empresas a entender problemas, definir caminhos e colocar soluções em prática, trabalhando ativamente junto aos times do cliente.</w:t>
      </w:r>
    </w:p>
    <w:p>
      <w:r>
        <w:t>O nome é curto, contemporâneo e não limita a marca a uma disciplina específica. Além da origem pessoal do naming, OLWI carrega para a marca a referência a “rio” apresentada como associada a línguas bantas de Angola, especialmente ao umbundo. No conceito de marca, essa associação será trabalhada simbolicamente como fluxo, movimento, percurso, adaptação e continuidade.</w:t>
      </w:r>
    </w:p>
    <w:p>
      <w:r>
        <w:rPr>
          <w:b/>
        </w:rPr>
        <w:t xml:space="preserve">A atuação combina: </w:t>
      </w:r>
      <w:r>
        <w:t>Estratégia + Produto + Experiência + Qualidade + Tecnologia + Execução.</w:t>
      </w:r>
    </w:p>
    <w:p>
      <w:pPr>
        <w:ind w:left="360"/>
      </w:pPr>
      <w:r>
        <w:rPr>
          <w:b/>
          <w:i/>
          <w:color w:val="365845"/>
        </w:rPr>
        <w:t>Pensamos como consultores. Trabalhamos como parte do time.</w:t>
      </w:r>
    </w:p>
    <w:p>
      <w:pPr>
        <w:pStyle w:val="Heading1"/>
        <w:spacing w:before="200" w:after="100"/>
      </w:pPr>
      <w:r>
        <w:t>2. Essência e conceito</w:t>
      </w:r>
    </w:p>
    <w:p>
      <w:r>
        <w:t>OLWI não deve ser percebida como uma consultoria que observa um problema à distância, produz recomendações e encerra o projeto. A marca representa pensamento estratégico com participação ativa e execução.</w:t>
      </w:r>
    </w:p>
    <w:p>
      <w:r>
        <w:t>A metáfora do rio pode aparecer de forma sutil: entender o terreno, encontrar caminhos, contornar obstáculos, manter movimento e conduzir transformação. Ela não precisa dominar a comunicação nem transformar a identidade em uma marca literal de natureza.</w:t>
      </w:r>
    </w:p>
    <w:p>
      <w:pPr>
        <w:ind w:left="360"/>
      </w:pPr>
      <w:r>
        <w:rPr>
          <w:b/>
          <w:i/>
          <w:color w:val="365845"/>
        </w:rPr>
        <w:t>Estratégia que entra em movimento.</w:t>
      </w:r>
    </w:p>
    <w:p>
      <w:pPr>
        <w:ind w:left="360"/>
      </w:pPr>
      <w:r>
        <w:rPr>
          <w:b/>
          <w:i/>
          <w:color w:val="365845"/>
        </w:rPr>
        <w:t>Tecnologia é o meio. Resolver o problema certo e fazer a solução acontecer é o que importa.</w:t>
      </w:r>
    </w:p>
    <w:p>
      <w:pPr>
        <w:pStyle w:val="Heading1"/>
        <w:spacing w:before="200" w:after="100"/>
      </w:pPr>
      <w:r>
        <w:t>3. Proposta de valor</w:t>
      </w:r>
    </w:p>
    <w:p>
      <w:r>
        <w:t>A OLWI reúne competências de produto, experiência, qualidade, tecnologia e eficiência para atuar desde a investigação de um desafio até sua implementação, validação e evolução.</w:t>
      </w:r>
    </w:p>
    <w:p>
      <w:r>
        <w:t>Podemos ajudar a responder “o que devemos fazer?”, estruturar “como fazemos?” e trabalhar junto ao cliente no “vamos fazer”.</w:t>
      </w:r>
    </w:p>
    <w:p>
      <w:r>
        <w:rPr>
          <w:b/>
        </w:rPr>
        <w:t xml:space="preserve">Não vendemos apenas recomendações ou entregáveis isolados. </w:t>
      </w:r>
      <w:r>
        <w:t>Vendemos capacidade de entender, decidir, executar e evoluir.</w:t>
      </w:r>
    </w:p>
    <w:p>
      <w:pPr>
        <w:pStyle w:val="Heading1"/>
        <w:spacing w:before="200" w:after="100"/>
      </w:pPr>
      <w:r>
        <w:t>4. Como atuamos</w:t>
      </w:r>
    </w:p>
    <w:p>
      <w:pPr>
        <w:pStyle w:val="Heading2"/>
        <w:spacing w:before="200" w:after="100"/>
      </w:pPr>
      <w:r>
        <w:t>Consultoria estratégica</w:t>
      </w:r>
    </w:p>
    <w:p>
      <w:r>
        <w:t>Investigamos problemas, contexto e dados, estruturamos alternativas e apoiamos decisões.</w:t>
      </w:r>
    </w:p>
    <w:p>
      <w:pPr>
        <w:pStyle w:val="Heading2"/>
        <w:spacing w:before="200" w:after="100"/>
      </w:pPr>
      <w:r>
        <w:t>Consultoria hands-on</w:t>
      </w:r>
    </w:p>
    <w:p>
      <w:r>
        <w:t>Além de definir o caminho, participamos da operação e ajudamos a implementar as mudanças.</w:t>
      </w:r>
    </w:p>
    <w:p>
      <w:pPr>
        <w:pStyle w:val="Heading2"/>
        <w:spacing w:before="200" w:after="100"/>
      </w:pPr>
      <w:r>
        <w:t>Especialistas integrados ao time</w:t>
      </w:r>
    </w:p>
    <w:p>
      <w:r>
        <w:t>Profissionais da OLWI podem atuar junto às equipes do cliente para adicionar capacidade ou competências específicas.</w:t>
      </w:r>
    </w:p>
    <w:p>
      <w:pPr>
        <w:pStyle w:val="Heading2"/>
        <w:spacing w:before="200" w:after="100"/>
      </w:pPr>
      <w:r>
        <w:t>Projetos ponta a ponta</w:t>
      </w:r>
    </w:p>
    <w:p>
      <w:r>
        <w:t>Podemos acompanhar um desafio do discovery à implementação, validação e evolução.</w:t>
      </w:r>
    </w:p>
    <w:p>
      <w:pPr>
        <w:pStyle w:val="Heading1"/>
        <w:spacing w:before="200" w:after="100"/>
      </w:pPr>
      <w:r>
        <w:t>5. O que significa ser hands-on</w:t>
      </w:r>
    </w:p>
    <w:p>
      <w:pPr>
        <w:pStyle w:val="ListBullet"/>
        <w:spacing w:after="40"/>
      </w:pPr>
      <w:r>
        <w:t>Entrar nas rotinas e processos do cliente</w:t>
      </w:r>
    </w:p>
    <w:p>
      <w:pPr>
        <w:pStyle w:val="ListBullet"/>
        <w:spacing w:after="40"/>
      </w:pPr>
      <w:r>
        <w:t>Trabalhar diretamente com times e stakeholders</w:t>
      </w:r>
    </w:p>
    <w:p>
      <w:pPr>
        <w:pStyle w:val="ListBullet"/>
        <w:spacing w:after="40"/>
      </w:pPr>
      <w:r>
        <w:t>Conduzir e participar de discoveries, refinamentos e decisões</w:t>
      </w:r>
    </w:p>
    <w:p>
      <w:pPr>
        <w:pStyle w:val="ListBullet"/>
        <w:spacing w:after="40"/>
      </w:pPr>
      <w:r>
        <w:t>Organizar e priorizar backlog</w:t>
      </w:r>
    </w:p>
    <w:p>
      <w:pPr>
        <w:pStyle w:val="ListBullet"/>
        <w:spacing w:after="40"/>
      </w:pPr>
      <w:r>
        <w:t>Escrever requisitos, histórias, critérios de aceite e documentação</w:t>
      </w:r>
    </w:p>
    <w:p>
      <w:pPr>
        <w:pStyle w:val="ListBullet"/>
        <w:spacing w:after="40"/>
      </w:pPr>
      <w:r>
        <w:t>Mapear jornadas, prototipar e validar soluções</w:t>
      </w:r>
    </w:p>
    <w:p>
      <w:pPr>
        <w:pStyle w:val="ListBullet"/>
        <w:spacing w:after="40"/>
      </w:pPr>
      <w:r>
        <w:t>Executar e estruturar processos de QA</w:t>
      </w:r>
    </w:p>
    <w:p>
      <w:pPr>
        <w:pStyle w:val="ListBullet"/>
        <w:spacing w:after="40"/>
      </w:pPr>
      <w:r>
        <w:t>Apoiar desenvolvimento, integrações e decisões técnicas</w:t>
      </w:r>
    </w:p>
    <w:p>
      <w:pPr>
        <w:pStyle w:val="ListBullet"/>
        <w:spacing w:after="40"/>
      </w:pPr>
      <w:r>
        <w:t>Atuar com Cloud, infraestrutura e FinOps</w:t>
      </w:r>
    </w:p>
    <w:p>
      <w:pPr>
        <w:pStyle w:val="ListBullet"/>
        <w:spacing w:after="40"/>
      </w:pPr>
      <w:r>
        <w:t>Analisar dados, custos, qualidade e resultados</w:t>
      </w:r>
    </w:p>
    <w:p>
      <w:pPr>
        <w:pStyle w:val="ListBullet"/>
        <w:spacing w:after="40"/>
      </w:pPr>
      <w:r>
        <w:t>Acompanhar implementações e medir resultados</w:t>
      </w:r>
    </w:p>
    <w:p>
      <w:pPr>
        <w:pStyle w:val="ListBullet"/>
        <w:spacing w:after="40"/>
      </w:pPr>
      <w:r>
        <w:t>Corrigir, adaptar e continuar evoluindo a solução</w:t>
      </w:r>
    </w:p>
    <w:p>
      <w:pPr>
        <w:ind w:left="360"/>
      </w:pPr>
      <w:r>
        <w:rPr>
          <w:b/>
          <w:i/>
          <w:color w:val="365845"/>
        </w:rPr>
        <w:t>Não entregamos apenas recomendações. Trabalhamos junto para fazer acontecer.</w:t>
      </w:r>
    </w:p>
    <w:p>
      <w:pPr>
        <w:pStyle w:val="Heading1"/>
        <w:spacing w:before="200" w:after="100"/>
      </w:pPr>
      <w:r>
        <w:t>6. Clientes-alvo</w:t>
      </w:r>
    </w:p>
    <w:p>
      <w:pPr>
        <w:pStyle w:val="Heading2"/>
        <w:spacing w:before="200" w:after="100"/>
      </w:pPr>
      <w:r>
        <w:t>6.1 Startups e scale-ups</w:t>
      </w:r>
    </w:p>
    <w:p>
      <w:r>
        <w:t>Empresas criando, validando, estruturando ou escalando produtos digitais. A comunicação deve enfatizar proximidade, velocidade, experimentação, construção e crescimento. A OLWI deve parecer uma extensão especializada do time.</w:t>
      </w:r>
    </w:p>
    <w:p>
      <w:pPr>
        <w:pStyle w:val="Heading2"/>
        <w:spacing w:before="200" w:after="100"/>
      </w:pPr>
      <w:r>
        <w:t>6.2 Médias e grandes empresas</w:t>
      </w:r>
    </w:p>
    <w:p>
      <w:r>
        <w:t>Organizações que já possuem estruturas de produto e tecnologia, mas precisam de capacidade adicional, especialistas ou apoio para desafios específicos. A comunicação deve transmitir senioridade, método, segurança, previsibilidade e capacidade real de execução.</w:t>
      </w:r>
    </w:p>
    <w:p>
      <w:pPr>
        <w:pStyle w:val="Heading2"/>
        <w:spacing w:before="200" w:after="100"/>
      </w:pPr>
      <w:r>
        <w:t>6.3 Empresas em transformação digital</w:t>
      </w:r>
    </w:p>
    <w:p>
      <w:r>
        <w:t>Empresas cujo core não necessariamente é tecnologia, mas que precisam digitalizar produtos, serviços ou operações. A OLWI funciona como ponte entre problema de negócio e solução tecnológica, usando linguagem clara e acessível.</w:t>
      </w:r>
    </w:p>
    <w:p>
      <w:pPr>
        <w:pStyle w:val="Heading1"/>
        <w:spacing w:before="200" w:after="100"/>
      </w:pPr>
      <w:r>
        <w:t>7. Diferentes públicos, mesma OLWI</w:t>
      </w:r>
    </w:p>
    <w:p>
      <w:pPr>
        <w:ind w:left="360"/>
      </w:pPr>
      <w:r>
        <w:rPr>
          <w:b/>
          <w:i/>
          <w:color w:val="365845"/>
        </w:rPr>
        <w:t>A OLWI precisa conseguir conversar com uma startup de 8 pessoas e com uma empresa de 5.000 sem parecer corporativa demais para a primeira ou informal demais para a segunda.</w:t>
      </w:r>
    </w:p>
    <w:p>
      <w:r>
        <w:rPr>
          <w:b/>
        </w:rPr>
        <w:t xml:space="preserve">Startups: </w:t>
      </w:r>
      <w:r>
        <w:t>“Ajudamos seu produto a sair da ideia, ganhar estrutura e crescer, trabalhando junto com seu time.”</w:t>
      </w:r>
    </w:p>
    <w:p>
      <w:r>
        <w:rPr>
          <w:b/>
        </w:rPr>
        <w:t xml:space="preserve">Empresas maiores: </w:t>
      </w:r>
      <w:r>
        <w:t>“Especialistas para destravar desafios de produto e tecnologia, da estratégia à execução.”</w:t>
      </w:r>
    </w:p>
    <w:p>
      <w:r>
        <w:rPr>
          <w:b/>
        </w:rPr>
        <w:t xml:space="preserve">Transformação digital: </w:t>
      </w:r>
      <w:r>
        <w:t>“Transformamos problemas de negócio em soluções digitais e ajudamos a colocá-las em prática.”</w:t>
      </w:r>
    </w:p>
    <w:p>
      <w:pPr>
        <w:pStyle w:val="Heading1"/>
        <w:spacing w:before="200" w:after="100"/>
      </w:pPr>
      <w:r>
        <w:t>8. Área comercial</w:t>
      </w:r>
    </w:p>
    <w:p>
      <w:r>
        <w:t>A comunicação comercial deve começar pelo problema do cliente, não por uma lista de tecnologias. Precisa ficar evidente que a OLWI pode diagnosticar, recomendar e executar.</w:t>
      </w:r>
    </w:p>
    <w:p>
      <w:r>
        <w:rPr>
          <w:b/>
        </w:rPr>
        <w:t xml:space="preserve">“Tenho uma ideia, mas não sei como transformar em produto.” </w:t>
      </w:r>
      <w:r>
        <w:t>→ Discovery, validação, estruturação, requisitos, roadmap e apoio ao MVP.</w:t>
      </w:r>
    </w:p>
    <w:p>
      <w:r>
        <w:rPr>
          <w:b/>
        </w:rPr>
        <w:t xml:space="preserve">“Meu produto existe, mas está desorganizado.” </w:t>
      </w:r>
      <w:r>
        <w:t>→ Product Management, backlog, processos, documentação, priorização e implantação.</w:t>
      </w:r>
    </w:p>
    <w:p>
      <w:r>
        <w:rPr>
          <w:b/>
        </w:rPr>
        <w:t xml:space="preserve">“Meu sistema está cheio de problemas.” </w:t>
      </w:r>
      <w:r>
        <w:t>→ QA, análise funcional, estratégia de testes e estruturação da qualidade.</w:t>
      </w:r>
    </w:p>
    <w:p>
      <w:r>
        <w:rPr>
          <w:b/>
        </w:rPr>
        <w:t xml:space="preserve">“Meu produto funciona, mas a experiência não está boa.” </w:t>
      </w:r>
      <w:r>
        <w:t>→ UX, jornadas, prototipação, validação e acompanhamento da implementação.</w:t>
      </w:r>
    </w:p>
    <w:p>
      <w:r>
        <w:rPr>
          <w:b/>
        </w:rPr>
        <w:t xml:space="preserve">“Meu time não consegue entregar tudo.” </w:t>
      </w:r>
      <w:r>
        <w:t>→ Especialistas trabalhando lado a lado com a equipe para destravar demandas.</w:t>
      </w:r>
    </w:p>
    <w:p>
      <w:r>
        <w:rPr>
          <w:b/>
        </w:rPr>
        <w:t xml:space="preserve">“Nossa infraestrutura está ficando cara.” </w:t>
      </w:r>
      <w:r>
        <w:t>→ Cloud, FinOps, análise de custos e apoio à otimização.</w:t>
      </w:r>
    </w:p>
    <w:p>
      <w:r>
        <w:rPr>
          <w:b/>
        </w:rPr>
        <w:t xml:space="preserve">“Sabemos o que o negócio precisa, mas não sabemos transformar isso em tecnologia.” </w:t>
      </w:r>
      <w:r>
        <w:t>→ Discovery, requisitos, estratégia de produto e acompanhamento técnico.</w:t>
      </w:r>
    </w:p>
    <w:p>
      <w:pPr>
        <w:pStyle w:val="Heading1"/>
        <w:spacing w:before="200" w:after="100"/>
      </w:pPr>
      <w:r>
        <w:t>9. Serviços</w:t>
      </w:r>
    </w:p>
    <w:p>
      <w:r>
        <w:rPr>
          <w:b/>
        </w:rPr>
        <w:t xml:space="preserve">Produto: </w:t>
      </w:r>
      <w:r>
        <w:t>Product Management; Product Discovery; Estratégia de produto; Roadmaps e priorização; Backlog; Requisitos e documentação; Processos de produto.</w:t>
      </w:r>
    </w:p>
    <w:p>
      <w:r>
        <w:rPr>
          <w:b/>
        </w:rPr>
        <w:t xml:space="preserve">Experiência: </w:t>
      </w:r>
      <w:r>
        <w:t>UX; Análise de usabilidade; Jornadas; Prototipação; Validação; Auditoria de experiência.</w:t>
      </w:r>
    </w:p>
    <w:p>
      <w:r>
        <w:rPr>
          <w:b/>
        </w:rPr>
        <w:t xml:space="preserve">Qualidade: </w:t>
      </w:r>
      <w:r>
        <w:t>Quality Assurance; Estratégia de testes; Testes funcionais; Automação; Processos de qualidade.</w:t>
      </w:r>
    </w:p>
    <w:p>
      <w:r>
        <w:rPr>
          <w:b/>
        </w:rPr>
        <w:t xml:space="preserve">Tecnologia: </w:t>
      </w:r>
      <w:r>
        <w:t>Desenvolvimento e apoio técnico; Cloud; Arquitetura; Integrações; Modernização de produtos.</w:t>
      </w:r>
    </w:p>
    <w:p>
      <w:r>
        <w:rPr>
          <w:b/>
        </w:rPr>
        <w:t xml:space="preserve">Eficiência: </w:t>
      </w:r>
      <w:r>
        <w:t>FinOps; Otimização de infraestrutura; Processos; Eficiência tecnológica.</w:t>
      </w:r>
    </w:p>
    <w:p>
      <w:r>
        <w:t>Os serviços não precisam ser vendidos como pacotes isolados. A combinação deve responder ao problema real e ao nível de participação necessário.</w:t>
      </w:r>
    </w:p>
    <w:p>
      <w:pPr>
        <w:pStyle w:val="Heading1"/>
        <w:spacing w:before="200" w:after="100"/>
      </w:pPr>
      <w:r>
        <w:t>10. Comunicação institucional</w:t>
      </w:r>
    </w:p>
    <w:p>
      <w:pPr>
        <w:ind w:left="360"/>
      </w:pPr>
      <w:r>
        <w:rPr>
          <w:b/>
          <w:i/>
          <w:color w:val="365845"/>
        </w:rPr>
        <w:t>Problema → Discovery → Estratégia → UX → Requisitos → Desenvolvimento → QA → Dados → Evolução</w:t>
      </w:r>
    </w:p>
    <w:p>
      <w:r>
        <w:t>A experiência prática deve aparecer mais do que o discurso teórico. A OLWI deve demonstrar que sabe investigar, decidir e executar em ambientes reais.</w:t>
      </w:r>
    </w:p>
    <w:p>
      <w:pPr>
        <w:pStyle w:val="Heading1"/>
        <w:spacing w:before="200" w:after="100"/>
      </w:pPr>
      <w:r>
        <w:t>11. Tom de voz</w:t>
      </w:r>
    </w:p>
    <w:p>
      <w:r>
        <w:rPr>
          <w:b/>
        </w:rPr>
        <w:t xml:space="preserve">Deve ser: </w:t>
      </w:r>
      <w:r>
        <w:t>claro, inteligente, direto, seguro, próximo, técnico quando necessário, didático e ocasionalmente provocativo.</w:t>
      </w:r>
    </w:p>
    <w:p>
      <w:r>
        <w:rPr>
          <w:b/>
        </w:rPr>
        <w:t xml:space="preserve">Evitar: </w:t>
      </w:r>
      <w:r>
        <w:t>corporativês, buzzwords vazias, promessas genéricas e informalidade excessiva.</w:t>
      </w:r>
    </w:p>
    <w:p>
      <w:r>
        <w:rPr>
          <w:b/>
        </w:rPr>
        <w:t xml:space="preserve">Preferir: </w:t>
      </w:r>
      <w:r>
        <w:t>problemas concretos, decisões claras, exemplos de execução, resultados e linguagem compreensível.</w:t>
      </w:r>
    </w:p>
    <w:p>
      <w:pPr>
        <w:ind w:left="360"/>
      </w:pPr>
      <w:r>
        <w:rPr>
          <w:b/>
          <w:i/>
          <w:color w:val="365845"/>
        </w:rPr>
        <w:t>Antes de construir a solução, queremos ter certeza de que estamos resolvendo o problema certo.</w:t>
      </w:r>
    </w:p>
    <w:p>
      <w:pPr>
        <w:pStyle w:val="Heading1"/>
        <w:spacing w:before="200" w:after="100"/>
      </w:pPr>
      <w:r>
        <w:t>12. Humanização</w:t>
      </w:r>
    </w:p>
    <w:p>
      <w:r>
        <w:t>A OLWI deve ser humanizada porque seu modelo depende de proximidade, confiança e colaboração. Queremos mostrar pessoas experientes entrando no problema e trabalhando junto ao cliente.</w:t>
      </w:r>
    </w:p>
    <w:p>
      <w:pPr>
        <w:pStyle w:val="ListBullet"/>
        <w:spacing w:after="40"/>
      </w:pPr>
      <w:r>
        <w:t>Equipe</w:t>
      </w:r>
    </w:p>
    <w:p>
      <w:pPr>
        <w:pStyle w:val="ListBullet"/>
        <w:spacing w:after="40"/>
      </w:pPr>
      <w:r>
        <w:t>Bastidores</w:t>
      </w:r>
    </w:p>
    <w:p>
      <w:pPr>
        <w:pStyle w:val="ListBullet"/>
        <w:spacing w:after="40"/>
      </w:pPr>
      <w:r>
        <w:t>Workshops</w:t>
      </w:r>
    </w:p>
    <w:p>
      <w:pPr>
        <w:pStyle w:val="ListBullet"/>
        <w:spacing w:after="40"/>
      </w:pPr>
      <w:r>
        <w:t>Reuniões</w:t>
      </w:r>
    </w:p>
    <w:p>
      <w:pPr>
        <w:pStyle w:val="ListBullet"/>
        <w:spacing w:after="40"/>
      </w:pPr>
      <w:r>
        <w:t>Processos</w:t>
      </w:r>
    </w:p>
    <w:p>
      <w:pPr>
        <w:pStyle w:val="ListBullet"/>
        <w:spacing w:after="40"/>
      </w:pPr>
      <w:r>
        <w:t>Hipóteses</w:t>
      </w:r>
    </w:p>
    <w:p>
      <w:pPr>
        <w:pStyle w:val="ListBullet"/>
        <w:spacing w:after="40"/>
      </w:pPr>
      <w:r>
        <w:t>Experimentos</w:t>
      </w:r>
    </w:p>
    <w:p>
      <w:pPr>
        <w:pStyle w:val="ListBullet"/>
        <w:spacing w:after="40"/>
      </w:pPr>
      <w:r>
        <w:t>Decisões</w:t>
      </w:r>
    </w:p>
    <w:p>
      <w:pPr>
        <w:pStyle w:val="ListBullet"/>
        <w:spacing w:after="40"/>
      </w:pPr>
      <w:r>
        <w:t>Protótipos</w:t>
      </w:r>
    </w:p>
    <w:p>
      <w:pPr>
        <w:pStyle w:val="ListBullet"/>
        <w:spacing w:after="40"/>
      </w:pPr>
      <w:r>
        <w:t>Testes</w:t>
      </w:r>
    </w:p>
    <w:p>
      <w:pPr>
        <w:pStyle w:val="ListBullet"/>
        <w:spacing w:after="40"/>
      </w:pPr>
      <w:r>
        <w:t>Aprendizados</w:t>
      </w:r>
    </w:p>
    <w:p>
      <w:pPr>
        <w:pStyle w:val="ListBullet"/>
        <w:spacing w:after="40"/>
      </w:pPr>
      <w:r>
        <w:t>Resultados</w:t>
      </w:r>
    </w:p>
    <w:p>
      <w:pPr>
        <w:ind w:left="360"/>
      </w:pPr>
      <w:r>
        <w:rPr>
          <w:b/>
          <w:i/>
          <w:color w:val="365845"/>
        </w:rPr>
        <w:t>Humana sem ser amadora. Profissional sem ser fria.</w:t>
      </w:r>
    </w:p>
    <w:p>
      <w:pPr>
        <w:pStyle w:val="Heading1"/>
        <w:spacing w:before="200" w:after="100"/>
      </w:pPr>
      <w:r>
        <w:t>13. Estética</w:t>
      </w:r>
    </w:p>
    <w:p>
      <w:r>
        <w:rPr>
          <w:b/>
        </w:rPr>
        <w:t>Direção visual: Tech boutique / Product Studio.</w:t>
      </w:r>
    </w:p>
    <w:p>
      <w:r>
        <w:t>A definição comercial é consultoria hands-on de produto e tecnologia; Product Studio funciona como referência estética. A identidade deve ser minimalista, contemporânea, técnica e humana.</w:t>
      </w:r>
    </w:p>
    <w:p>
      <w:r>
        <w:t>A ideia de fluxo pode inspirar curvas, linhas contínuas, caminhos, conexões, deslocamentos e sistemas visuais modulares, sem recorrer a desenhos literais de rios.</w:t>
      </w:r>
    </w:p>
    <w:p>
      <w:r>
        <w:rPr>
          <w:b/>
        </w:rPr>
        <w:t xml:space="preserve">Evitar: </w:t>
      </w:r>
      <w:r>
        <w:t>código, neon, robôs, cérebros digitais, clichês de IA, apertos de mão, ondas aquáticas genéricas e estética corporativa previsível.</w:t>
      </w:r>
    </w:p>
    <w:p>
      <w:r>
        <w:rPr>
          <w:b/>
        </w:rPr>
        <w:t xml:space="preserve">Explorar: </w:t>
      </w:r>
      <w:r>
        <w:t>grids, fluxos, interfaces, diagramas, linhas, percursos, wireframes, dashboards, dados, anotações, protótipos e componentes.</w:t>
      </w:r>
    </w:p>
    <w:p>
      <w:pPr>
        <w:pStyle w:val="Heading1"/>
        <w:spacing w:before="200" w:after="100"/>
      </w:pPr>
      <w:r>
        <w:t>14. Paleta de cores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Função</w:t>
            </w:r>
          </w:p>
        </w:tc>
        <w:tc>
          <w:tcPr>
            <w:tcW w:type="dxa" w:w="3312"/>
          </w:tcPr>
          <w:p>
            <w:r>
              <w:t>Direção</w:t>
            </w:r>
          </w:p>
        </w:tc>
        <w:tc>
          <w:tcPr>
            <w:tcW w:type="dxa" w:w="3312"/>
          </w:tcPr>
          <w:p>
            <w:r>
              <w:t>Uso</w:t>
            </w:r>
          </w:p>
        </w:tc>
      </w:tr>
      <w:tr>
        <w:tc>
          <w:tcPr>
            <w:tcW w:type="dxa" w:w="3312"/>
            <w:vAlign w:val="center"/>
          </w:tcPr>
          <w:p>
            <w:r>
              <w:t>Base</w:t>
            </w:r>
          </w:p>
        </w:tc>
        <w:tc>
          <w:tcPr>
            <w:tcW w:type="dxa" w:w="3312"/>
            <w:vAlign w:val="center"/>
          </w:tcPr>
          <w:p>
            <w:r>
              <w:t>Off-white / creme claro</w:t>
            </w:r>
          </w:p>
        </w:tc>
        <w:tc>
          <w:tcPr>
            <w:tcW w:type="dxa" w:w="3312"/>
            <w:vAlign w:val="center"/>
          </w:tcPr>
          <w:p>
            <w:r>
              <w:t>Fundos, respiro e estética editorial</w:t>
            </w:r>
          </w:p>
        </w:tc>
      </w:tr>
      <w:tr>
        <w:tc>
          <w:tcPr>
            <w:tcW w:type="dxa" w:w="3312"/>
            <w:vAlign w:val="center"/>
          </w:tcPr>
          <w:p>
            <w:r>
              <w:t>Base</w:t>
            </w:r>
          </w:p>
        </w:tc>
        <w:tc>
          <w:tcPr>
            <w:tcW w:type="dxa" w:w="3312"/>
            <w:vAlign w:val="center"/>
          </w:tcPr>
          <w:p>
            <w:r>
              <w:t>Grafite / cinza quente</w:t>
            </w:r>
          </w:p>
        </w:tc>
        <w:tc>
          <w:tcPr>
            <w:tcW w:type="dxa" w:w="3312"/>
            <w:vAlign w:val="center"/>
          </w:tcPr>
          <w:p>
            <w:r>
              <w:t>Texto, contraste e estrutura</w:t>
            </w:r>
          </w:p>
        </w:tc>
      </w:tr>
      <w:tr>
        <w:tc>
          <w:tcPr>
            <w:tcW w:type="dxa" w:w="3312"/>
            <w:vAlign w:val="center"/>
          </w:tcPr>
          <w:p>
            <w:r>
              <w:t>Principal</w:t>
            </w:r>
          </w:p>
        </w:tc>
        <w:tc>
          <w:tcPr>
            <w:tcW w:type="dxa" w:w="3312"/>
            <w:vAlign w:val="center"/>
          </w:tcPr>
          <w:p>
            <w:r>
              <w:t>Verde ácido / verde-lima sofisticado</w:t>
            </w:r>
          </w:p>
        </w:tc>
        <w:tc>
          <w:tcPr>
            <w:tcW w:type="dxa" w:w="3312"/>
            <w:vAlign w:val="center"/>
          </w:tcPr>
          <w:p>
            <w:r>
              <w:t>CTAs, ícones, destaques e assinatura</w:t>
            </w:r>
          </w:p>
        </w:tc>
      </w:tr>
      <w:tr>
        <w:tc>
          <w:tcPr>
            <w:tcW w:type="dxa" w:w="3312"/>
            <w:vAlign w:val="center"/>
          </w:tcPr>
          <w:p>
            <w:r>
              <w:t>Secundária</w:t>
            </w:r>
          </w:p>
        </w:tc>
        <w:tc>
          <w:tcPr>
            <w:tcW w:type="dxa" w:w="3312"/>
            <w:vAlign w:val="center"/>
          </w:tcPr>
          <w:p>
            <w:r>
              <w:t>Verde fechado</w:t>
            </w:r>
          </w:p>
        </w:tc>
        <w:tc>
          <w:tcPr>
            <w:tcW w:type="dxa" w:w="3312"/>
            <w:vAlign w:val="center"/>
          </w:tcPr>
          <w:p>
            <w:r>
              <w:t>Profundidade e apoio</w:t>
            </w:r>
          </w:p>
        </w:tc>
      </w:tr>
      <w:tr>
        <w:tc>
          <w:tcPr>
            <w:tcW w:type="dxa" w:w="3312"/>
            <w:vAlign w:val="center"/>
          </w:tcPr>
          <w:p>
            <w:r>
              <w:t>Secundária</w:t>
            </w:r>
          </w:p>
        </w:tc>
        <w:tc>
          <w:tcPr>
            <w:tcW w:type="dxa" w:w="3312"/>
            <w:vAlign w:val="center"/>
          </w:tcPr>
          <w:p>
            <w:r>
              <w:t>Azul-violeta / lilás</w:t>
            </w:r>
          </w:p>
        </w:tc>
        <w:tc>
          <w:tcPr>
            <w:tcW w:type="dxa" w:w="3312"/>
            <w:vAlign w:val="center"/>
          </w:tcPr>
          <w:p>
            <w:r>
              <w:t>Uso pontual e experimental</w:t>
            </w:r>
          </w:p>
        </w:tc>
      </w:tr>
    </w:tbl>
    <w:p>
      <w:r>
        <w:t>A paleta precisa funcionar para startups e grandes organizações. O resultado deve ser reconhecível e contemporâneo sem perder credibilidade.</w:t>
      </w:r>
    </w:p>
    <w:p>
      <w:pPr>
        <w:pStyle w:val="Heading1"/>
        <w:spacing w:before="200" w:after="100"/>
      </w:pPr>
      <w:r>
        <w:t>15. Fotografia e imagem</w:t>
      </w:r>
    </w:p>
    <w:p>
      <w:r>
        <w:rPr>
          <w:b/>
        </w:rPr>
        <w:t xml:space="preserve">Preferir: </w:t>
      </w:r>
      <w:r>
        <w:t>pessoas trabalhando de verdade, workshops, reuniões, quadros, protótipos, telas, testes, notebooks, anotações e bastidores.</w:t>
      </w:r>
    </w:p>
    <w:p>
      <w:r>
        <w:rPr>
          <w:b/>
        </w:rPr>
        <w:t xml:space="preserve">Evitar: </w:t>
      </w:r>
      <w:r>
        <w:t>banco corporativo tradicional, poses artificiais, código aleatório, robôs e clichês visuais de tecnologia.</w:t>
      </w:r>
    </w:p>
    <w:p>
      <w:r>
        <w:t>A imagem deve reforçar participação ativa: menos pessoas posando e mais pessoas fazendo.</w:t>
      </w:r>
    </w:p>
    <w:p>
      <w:pPr>
        <w:pStyle w:val="Heading1"/>
        <w:spacing w:before="200" w:after="100"/>
      </w:pPr>
      <w:r>
        <w:t>16. Personalidade</w:t>
      </w:r>
    </w:p>
    <w:p>
      <w:r>
        <w:rPr>
          <w:b/>
        </w:rPr>
        <w:t xml:space="preserve">Se a OLWI fosse uma pessoa, seria: </w:t>
      </w:r>
      <w:r>
        <w:t>Curiosa. Analítica. Criativa. Pragmática. Técnica. Direta. Inquieta. Confiável. Participativa. Adaptável.</w:t>
      </w:r>
    </w:p>
    <w:p>
      <w:pPr>
        <w:ind w:left="360"/>
      </w:pPr>
      <w:r>
        <w:rPr>
          <w:b/>
          <w:i/>
          <w:color w:val="365845"/>
        </w:rPr>
        <w:t>Investiga → entende → decide → executa → mede → melhora.</w:t>
      </w:r>
    </w:p>
    <w:p>
      <w:pPr>
        <w:pStyle w:val="Heading1"/>
        <w:spacing w:before="200" w:after="100"/>
      </w:pPr>
      <w:r>
        <w:t>17. Mensagens centrais</w:t>
      </w:r>
    </w:p>
    <w:p>
      <w:pPr>
        <w:pStyle w:val="ListBullet"/>
        <w:spacing w:after="40"/>
      </w:pPr>
      <w:r>
        <w:t>Pensamos como consultores. Trabalhamos como parte do time.</w:t>
      </w:r>
    </w:p>
    <w:p>
      <w:pPr>
        <w:pStyle w:val="ListBullet"/>
        <w:spacing w:after="40"/>
      </w:pPr>
      <w:r>
        <w:t>Estratégia que entra em movimento.</w:t>
      </w:r>
    </w:p>
    <w:p>
      <w:pPr>
        <w:pStyle w:val="ListBullet"/>
        <w:spacing w:after="40"/>
      </w:pPr>
      <w:r>
        <w:t>Estratégia que sai do papel.</w:t>
      </w:r>
    </w:p>
    <w:p>
      <w:pPr>
        <w:pStyle w:val="ListBullet"/>
        <w:spacing w:after="40"/>
      </w:pPr>
      <w:r>
        <w:t>Não entregamos apenas recomendações. Trabalhamos junto para fazer acontecer.</w:t>
      </w:r>
    </w:p>
    <w:p>
      <w:pPr>
        <w:pStyle w:val="ListBullet"/>
        <w:spacing w:after="40"/>
      </w:pPr>
      <w:r>
        <w:t>Produto e tecnologia, da decisão à execução.</w:t>
      </w:r>
    </w:p>
    <w:p>
      <w:pPr>
        <w:pStyle w:val="ListBullet"/>
        <w:spacing w:after="40"/>
      </w:pPr>
      <w:r>
        <w:t>Antes de construir a solução, queremos ter certeza de que estamos resolvendo o problema certo.</w:t>
      </w:r>
    </w:p>
    <w:p>
      <w:pPr>
        <w:pStyle w:val="Heading1"/>
        <w:spacing w:before="200" w:after="100"/>
      </w:pPr>
      <w:r>
        <w:t>18. Sensação final</w:t>
      </w:r>
    </w:p>
    <w:p>
      <w:r>
        <w:t>Ao conhecer a OLWI, o cliente deve pensar:</w:t>
      </w:r>
    </w:p>
    <w:p>
      <w:pPr>
        <w:ind w:left="360"/>
      </w:pPr>
      <w:r>
        <w:rPr>
          <w:b/>
          <w:i/>
          <w:color w:val="365845"/>
        </w:rPr>
        <w:t>Eles entenderiam o meu problema.</w:t>
      </w:r>
    </w:p>
    <w:p>
      <w:pPr>
        <w:ind w:left="360"/>
      </w:pPr>
      <w:r>
        <w:rPr>
          <w:b/>
          <w:i/>
          <w:color w:val="365845"/>
        </w:rPr>
        <w:t>Eles sabem como resolver.</w:t>
      </w:r>
    </w:p>
    <w:p>
      <w:pPr>
        <w:ind w:left="360"/>
      </w:pPr>
      <w:r>
        <w:rPr>
          <w:b/>
          <w:i/>
          <w:color w:val="365845"/>
        </w:rPr>
        <w:t>Eles vão colocar a mão na massa com a gente.</w:t>
      </w:r>
    </w:p>
    <w:p>
      <w:r>
        <w:t>A identidade deve equilibrar:</w:t>
      </w:r>
    </w:p>
    <w:p>
      <w:pPr>
        <w:pStyle w:val="ListBullet"/>
        <w:spacing w:after="40"/>
      </w:pPr>
      <w:r>
        <w:t>Autoridade + Proximidade</w:t>
      </w:r>
    </w:p>
    <w:p>
      <w:pPr>
        <w:pStyle w:val="ListBullet"/>
        <w:spacing w:after="40"/>
      </w:pPr>
      <w:r>
        <w:t>Estratégia + Execução</w:t>
      </w:r>
    </w:p>
    <w:p>
      <w:pPr>
        <w:pStyle w:val="ListBullet"/>
        <w:spacing w:after="40"/>
      </w:pPr>
      <w:r>
        <w:t>Tecnologia + Negócio</w:t>
      </w:r>
    </w:p>
    <w:p>
      <w:pPr>
        <w:pStyle w:val="ListBullet"/>
        <w:spacing w:after="40"/>
      </w:pPr>
      <w:r>
        <w:t>Especialização + Colaboração</w:t>
      </w:r>
    </w:p>
    <w:p>
      <w:pPr>
        <w:pStyle w:val="ListBullet"/>
        <w:spacing w:after="40"/>
      </w:pPr>
      <w:r>
        <w:t>Movimento + Método</w:t>
      </w:r>
    </w:p>
    <w:p>
      <w:pPr>
        <w:pStyle w:val="Heading1"/>
        <w:spacing w:before="200" w:after="100"/>
      </w:pPr>
      <w:r>
        <w:t>19. Conceito central</w:t>
      </w:r>
    </w:p>
    <w:p>
      <w:pPr>
        <w:jc w:val="center"/>
      </w:pPr>
      <w:r>
        <w:rPr>
          <w:b/>
          <w:color w:val="1D2D26"/>
          <w:sz w:val="40"/>
        </w:rPr>
        <w:t>OLWI</w:t>
      </w:r>
    </w:p>
    <w:p>
      <w:pPr>
        <w:jc w:val="center"/>
      </w:pPr>
      <w:r>
        <w:rPr>
          <w:b/>
          <w:color w:val="496954"/>
          <w:sz w:val="30"/>
        </w:rPr>
        <w:t>THINK. TEST. BUILD. IMPROVE.</w:t>
      </w:r>
    </w:p>
    <w:p>
      <w:pPr>
        <w:jc w:val="center"/>
      </w:pPr>
      <w:r>
        <w:t>Pensar. Testar. Construir. Melhorar. A OLWI entende o terreno, encontra caminhos e trabalha junto para colocar a transformação em movimento.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D2D2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D2D2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