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980000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Capstone 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Capstone Project 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In-depth Analysis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(Machine Learning)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Learning Objective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Practice identifying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which supervised and unsupervised learning techniques are best suited for your Capstone Project data.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 supervised and unsupervised learning techniques to build  predictive models.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A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B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 2-3 page report on the steps and findings from machine learning in-depth  analysis, uploaded to GitHub.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submission shows that the student applied appropriate techniques to build predictive models.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submission shows that the student applied steps to build predictive models for the data in their capstone project.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submission shows that a hypothesis was developed.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The submission includes a  justification of the machine learning technique, and features selection and evaluation </w:t>
              <w:br w:type="textWrapping"/>
              <w:t xml:space="preserve">metrics/techniques utilized.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 submission is complete and uploaded in full.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 The submission demonstrates use of innovative ways to visualize data and uses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algorithms not covered in the course with good justification and understanding, or applied existing algorithms in an innovative way, perhaps with really clever feature design.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 reference, review how this interim project fits into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Overall Capstone Project 1 Rubric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CoZ7R0bRL3p5I9o7XUNVtpSf47Jlsp_yiY3wlNLM8Y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