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«ПЕТРОЗАВОДСКИЙ ГОСУДАРСТВЕННЫЙ УНИВЕРСИТЕТ»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математики и информационных технологий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предмету “Технологии обработки  данных”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Выполнила студентка группы 22503</w:t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Масаева Ольга </w:t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курса: Седов</w:t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Алексей Владимирович, </w:t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кандидат технических наук, доцент</w:t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ind w:left="496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Петрозаводск 2022 г.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Постановка задачи</w:t>
      </w:r>
      <w:r>
        <w:rPr>
          <w:rFonts w:eastAsia="Times New Roman" w:cs="Times New Roman" w:ascii="Times New Roman" w:hAnsi="Times New Roman"/>
          <w:sz w:val="24"/>
          <w:szCs w:val="24"/>
        </w:rPr>
        <w:t>: Основным источником задачи является соревнования , производимое на платформе Kaggle [1] “Santander Customer Transaction Prediction”. Цитата из описания соревнования: “Наша миссия в Сантандере — помогать людям и предприятиям процветать. В этом задании мы предлагаем вам помочь нам определить, какие клиенты будут совершать конкретную транзакцию в будущем, независимо от суммы транзакции. Данные, предоставленные для этого конкурса, имеют ту же структуру, что и реальные данные, которые у нас есть для решения этой проблемы.”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Описание данных: Цитата из [1] “ Вам предоставляется анонимный набор данных, содержащий числовые переменные признаков, двоичный целевой столбец и строковый столбец ID_code. Задача состоит в том, чтобы предсказать значение целевого столбца в наборе тестов.”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Цель: </w:t>
      </w:r>
      <w:r>
        <w:rPr>
          <w:rFonts w:eastAsia="Times New Roman" w:cs="Times New Roman" w:ascii="Times New Roman" w:hAnsi="Times New Roman"/>
          <w:sz w:val="24"/>
          <w:szCs w:val="24"/>
        </w:rPr>
        <w:t>Оптимальное решение задачи бинарной классификации данных транзакций.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данной цели были поставлены следующие задачи: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Первичное изучение данных (размеры,статистические  характеристики)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Графическая иллюстрация характеристик (построение графиков)\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Применение корреляционного и факторного анализа признаков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Подбор модели и реализация модели для классификации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Анализ метрик моделей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Формирование выводов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Реализация анализа данных проводилась на языке программирования python, с использованием программной среды Jupiter notebook, а также библиотек numpy, pandas,matplotlib, sklearn, lightgbm, scipy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ind w:left="0" w:hanging="0"/>
        <w:jc w:val="left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1"/>
        <w:tabs>
          <w:tab w:val="clear" w:pos="720"/>
          <w:tab w:val="left" w:pos="6393" w:leader="none"/>
        </w:tabs>
        <w:spacing w:lineRule="auto" w:line="240"/>
        <w:rPr>
          <w:sz w:val="36"/>
          <w:szCs w:val="36"/>
        </w:rPr>
      </w:pPr>
      <w:bookmarkStart w:id="0" w:name="_x8d2hx4gfzks"/>
      <w:bookmarkEnd w:id="0"/>
      <w:r>
        <w:rPr>
          <w:sz w:val="36"/>
          <w:szCs w:val="36"/>
        </w:rPr>
        <w:t xml:space="preserve">Первичное изучение данных </w:t>
      </w:r>
    </w:p>
    <w:p>
      <w:pPr>
        <w:pStyle w:val="Normal1"/>
        <w:tabs>
          <w:tab w:val="clear" w:pos="720"/>
          <w:tab w:val="left" w:pos="6393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6393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Данные располагались в csv файле train.csv, преобразованы в data frame,отрывок из которого представлен ниже:</w:t>
      </w:r>
    </w:p>
    <w:p>
      <w:pPr>
        <w:pStyle w:val="Normal1"/>
        <w:tabs>
          <w:tab w:val="clear" w:pos="720"/>
          <w:tab w:val="left" w:pos="6393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>ID_code  target    var_0     var_1     var_2      var_3      var_4     var_5      var_6  \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0  train_0       0    8.255   -6.7863  11.9081   5.0930   11.4607  -9.2834   5.1187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1  train_1       0    11.5006  -4.1473  13.8588  5.3890   12.3622  7.0433    5.6208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2  train_2       0     8.6093   -2.7457  12.0805  7.8928   10.5825   -9.0837  6.9427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3  train_3       0    11.0604  -2.1518   8.9522    7.1957  12.5846   -1.8361  5.8428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4  train_4       0    9.8369    -1.4834  12.8746   6.6375  12.2772    2.4486  5.9405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     </w:t>
      </w: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>var_7     ...   var_190  var_191   var_192   var_193    var_194    var_195  \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0  18.6266  ...   4.4354    3.9642     3.1364     1.6910     18.5227      -2.3978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1  16.5338  ...   7.6421    7.7214     2.5837    10.9516    15.4305       2.0339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2  14.6155  ...   2.9057    9.7905     1.6704    1.6858       21.6042      3.1417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3  14.9250  ...   4.4666    4.7433     0.7178    1.4214       23.0347     -1.2706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4  19.2514  ...  -1.4905    9.5214    -0.1508    9.1942      13.2876      -1.5121 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var_196     var_197    var_198    var_199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0   7.8784     8.5635     12.7803     -1.0914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1   8.1267     8.7889     18.3560      1.9518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2  -6.5213    8.2675      14.7222      0.3965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3  -2.9275    10.2922    17.9697     -8.9996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  <w:t xml:space="preserve">4   3.9267     9.5031      17.9974    -8.8104 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rPr>
          <w:rFonts w:ascii="Times New Roman" w:hAnsi="Times New Roman" w:eastAsia="Times New Roman" w:cs="Times New Roman"/>
          <w:sz w:val="25"/>
          <w:szCs w:val="25"/>
          <w:highlight w:val="white"/>
        </w:rPr>
      </w:pPr>
      <w:r>
        <w:rPr>
          <w:rFonts w:eastAsia="Times New Roman" w:cs="Times New Roman" w:ascii="Times New Roman" w:hAnsi="Times New Roman"/>
          <w:sz w:val="25"/>
          <w:szCs w:val="25"/>
          <w:highlight w:val="white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обучающей выборке 200 вещественных признаков(var_0-199) и один целевой бинарный признак(target) - имеется задача бинарной классификации. Всего в выборке 200000 записей.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рисунке 1. представлена гистограмма подсчета целевого признака на имеющихся данных.Видно , что выборка несбалансированная: количество записей со значением 0 примерно в 9 раз больше чем со значением 1. Статистические данные подтверждают это предположение: доля нулей в целевом признаке составляет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0.89951, в то время как доля единиц составляет 0.10049.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1" allowOverlap="1" relativeHeight="9">
            <wp:simplePos x="0" y="0"/>
            <wp:positionH relativeFrom="column">
              <wp:posOffset>922655</wp:posOffset>
            </wp:positionH>
            <wp:positionV relativeFrom="paragraph">
              <wp:posOffset>194310</wp:posOffset>
            </wp:positionV>
            <wp:extent cx="3886200" cy="2495550"/>
            <wp:effectExtent l="0" t="0" r="0" b="0"/>
            <wp:wrapTopAndBottom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Рис 1. Гистограмма подсчета целевого признака.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 рисунке 2 представлены гистограммы отдельных признаков данных выборки.Визуально графики напоминают нормальное распределение,но при применении к ним тест Шапиро-Вилка на нормальность  (функция scipy.stats.shapiro [2])  значения p-value были существенно малы (порядка 1.1724418070891532e-36), что отвергает гипотезу о нормальности распределений.При приближении заметно наличие более чем одного пика у гистограммы, возможно распределение является смесью нормальных распределений.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Также на рисунке 3 приведены гистограммы 1-го признака , разделенные по значению целевой переменной. Также наблюдается визуально сходство гистограмм, но данный факт также требует статистической проверки. Несмотря на внешнюю схожесть распределений, тест на однородность Колмогорова -Смирнова ( функция ks_2samp [3])  они не прошли , так как значение pvalue ниже 1% 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рисунке 4 представлены графики распределения математического ожидания и среднеквадратического отклонения признаков. 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1" allowOverlap="1" relativeHeight="7">
            <wp:simplePos x="0" y="0"/>
            <wp:positionH relativeFrom="column">
              <wp:posOffset>3057525</wp:posOffset>
            </wp:positionH>
            <wp:positionV relativeFrom="paragraph">
              <wp:posOffset>114300</wp:posOffset>
            </wp:positionV>
            <wp:extent cx="2919095" cy="1870710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8">
            <wp:simplePos x="0" y="0"/>
            <wp:positionH relativeFrom="column">
              <wp:posOffset>-390525</wp:posOffset>
            </wp:positionH>
            <wp:positionV relativeFrom="paragraph">
              <wp:posOffset>114300</wp:posOffset>
            </wp:positionV>
            <wp:extent cx="2882265" cy="1866900"/>
            <wp:effectExtent l="0" t="0" r="0" b="0"/>
            <wp:wrapSquare wrapText="bothSides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1" allowOverlap="1" relativeHeight="5">
            <wp:simplePos x="0" y="0"/>
            <wp:positionH relativeFrom="column">
              <wp:posOffset>3187700</wp:posOffset>
            </wp:positionH>
            <wp:positionV relativeFrom="paragraph">
              <wp:posOffset>238125</wp:posOffset>
            </wp:positionV>
            <wp:extent cx="2879725" cy="1847850"/>
            <wp:effectExtent l="0" t="0" r="0" b="0"/>
            <wp:wrapSquare wrapText="bothSides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6">
            <wp:simplePos x="0" y="0"/>
            <wp:positionH relativeFrom="column">
              <wp:posOffset>-390525</wp:posOffset>
            </wp:positionH>
            <wp:positionV relativeFrom="paragraph">
              <wp:posOffset>241935</wp:posOffset>
            </wp:positionV>
            <wp:extent cx="2886075" cy="1845945"/>
            <wp:effectExtent l="0" t="0" r="0" b="0"/>
            <wp:wrapSquare wrapText="bothSides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-1270</wp:posOffset>
            </wp:positionH>
            <wp:positionV relativeFrom="paragraph">
              <wp:posOffset>553085</wp:posOffset>
            </wp:positionV>
            <wp:extent cx="5731510" cy="2870200"/>
            <wp:effectExtent l="0" t="0" r="0" b="0"/>
            <wp:wrapTopAndBottom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Рис 2.Графики гистограмм распределения параметров 1(левый верхний),20(правый верхний),100(левый нижний),199 ( правый нижний)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 3. гистограммы признака var_0, разделенного по значению target.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21717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2171700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 4. Графики Распределений математических ожиданий и среднеквадратических отклонений признаков</w:t>
      </w:r>
    </w:p>
    <w:p>
      <w:pPr>
        <w:pStyle w:val="1"/>
        <w:tabs>
          <w:tab w:val="clear" w:pos="720"/>
          <w:tab w:val="left" w:pos="6393" w:leader="none"/>
        </w:tabs>
        <w:spacing w:lineRule="auto" w:line="240"/>
        <w:rPr>
          <w:sz w:val="36"/>
          <w:szCs w:val="36"/>
        </w:rPr>
      </w:pPr>
      <w:bookmarkStart w:id="1" w:name="_k04cwiih4dhi"/>
      <w:bookmarkEnd w:id="1"/>
      <w:r>
        <w:rPr>
          <w:sz w:val="36"/>
          <w:szCs w:val="36"/>
        </w:rPr>
        <w:t xml:space="preserve">Корреляционный и Факторный анализ </w:t>
      </w:r>
    </w:p>
    <w:p>
      <w:pPr>
        <w:pStyle w:val="Normal1"/>
        <w:tabs>
          <w:tab w:val="clear" w:pos="720"/>
          <w:tab w:val="left" w:pos="6393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6393" w:leader="none"/>
        </w:tabs>
        <w:rPr/>
      </w:pPr>
      <w:r>
        <w:rPr/>
        <w:t>В качестве корреляционного анализа был подсчитан парный коэффициент корреляции Пирсона. Без учета идентичных пар, наименьшее значение корреляции наблюдается между парой  var_75 и var_191  cor = 2.703975e-08, наибольшее значение корреляции наблюдается между парой var_139 и var_26 cor  = 0.009844. Учитывая тот факт , что наибольшая парная корреляция является крайне малой величиной, можно сделать вывод о независимости признаков.</w:t>
      </w:r>
    </w:p>
    <w:p>
      <w:pPr>
        <w:pStyle w:val="Normal1"/>
        <w:tabs>
          <w:tab w:val="clear" w:pos="720"/>
          <w:tab w:val="left" w:pos="6393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6393" w:leader="none"/>
        </w:tabs>
        <w:rPr/>
      </w:pPr>
      <w:r>
        <w:rPr/>
        <w:t>Также, учитывая большой объем данных, рассматривалось использование метода главных компонент(PCA алгоритм [4] со стандартными параметрами и n_components=2 ) для уменьшения размерности вектора признаков. Результатом сжатия данных к двух компонентам стал вектор дисперсий “</w:t>
      </w:r>
      <w:r>
        <w:rPr>
          <w:sz w:val="21"/>
          <w:szCs w:val="21"/>
          <w:highlight w:val="white"/>
        </w:rPr>
        <w:t>Results of variance in 2 columns used : [0.005654   0.00514221]” ,что в сумме составляет 0.010796214605994834. Так как потеря данных незначительная - 0.01 , метод главных компонент имеет место быть Результат уменьшение размерности представлен на рисунке 5. - Фиолетовые точки соответствуют точкам с target = 0, желтые c target = 1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448300" cy="3905250"/>
            <wp:effectExtent l="0" t="0" r="0" b="0"/>
            <wp:wrapTopAndBottom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Рис. 5. График скопления точек выборки в новой системе координат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tabs>
          <w:tab w:val="clear" w:pos="720"/>
          <w:tab w:val="left" w:pos="6393" w:leader="none"/>
        </w:tabs>
        <w:spacing w:lineRule="auto" w:line="240"/>
        <w:rPr>
          <w:sz w:val="36"/>
          <w:szCs w:val="36"/>
        </w:rPr>
      </w:pPr>
      <w:bookmarkStart w:id="2" w:name="_jaj7k41voq0z"/>
      <w:bookmarkEnd w:id="2"/>
      <w:r>
        <w:rPr>
          <w:sz w:val="36"/>
          <w:szCs w:val="36"/>
        </w:rPr>
        <w:t>Использование моделей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качестве моделей было взято 2 модели - логистическая регрессия и LGBM. Обе модели показали неплохие результаты и работали достаточно быстро даже без сокращения размерности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соревновании [1] в качестве метрики качества использовалась ROC AUC.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Логистическая регрессия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Логистическая регрессия или логит-модель (англ. logit model) — статистическая модель, используемая для прогнозирования вероятности возникновения некоторого события путем его сравнения с логистической кривой. Эта регрессия выдает ответ в виде вероятности бинарного события (1 или 0). Эта модель часто применяется для задач классификации. Для нашей модели данных использовалась функция LogisticRegression ([5]) c дефолтными параметрами,  в качестве данных выступал полный набор датасета. Результаты метрик на валидационной выборки представлены ниже: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Confusion_matrix: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[[35625   435]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[ 3033   907]]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Accuracy: 0.9133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Precision: 0.6759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Recall: 0.2302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F1: 0.3535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AUC: 0.6091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Алгоритм дал большую долю правильных ответов, поэтому имеет высокую рассчитанную точность, но , так как размеры классов не сбалансированные , по данной метрике не стоит судить о работе алгоритма. Точность имеет среднее значение,а полнота и вовсе низкое, за счет чего F метрика также имеет низкое значение. Значение AUC примерно 0.6, а значит качество алгоритма лучше случайного выбора класса,но не намного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сжатой методом главных компонент модели логистической регрессии результаты метрик представлены ниже: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Confusion_matrix: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[[36013    40]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[ 3888    59]]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Accuracy: 0.9018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Precision: 0.5960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Recall: 0.0149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F1: 0.0292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AUC: 0.5069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Видно, что во второй класс в этой модели классифицировалось куда меньшее число элементов ,чем в предыдущей модели. Значения характеристик уменьшились, особенно полнота. Значение площадь под кривой ROC, говорит о том , что данный выбор не сильно лучше случайного выбора.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Light Gradient Boosted Machine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машинном обучении классификатор LightGBM является частью семейства Boosting, и сегодня это самая распространенная модель классификации в сообществе машинного обучения. LightGBM – это мощная модель машинного обучения, которую можно формировать в зависимости от задачи, над которой вы работаете.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Light GBM  - это быстрый , распределенный, высокопроизводительный алгоритм градиентного форсирования, поддерживаемый деревом решений, используемый для ранжирования, классификации и других задач машинного обучения.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текущей задачи использовался полный набор данных и модель lightgbm[6] с параметрами: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params = {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'device' : 'cpu',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'n_estimators': 7000,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'num_leaves': 20,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'max_depth': -1,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'min_data_in_leaf': 80,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'learning_rate': 0.008,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'boosting': 'gbdt',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'objective': 'binary',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'metric': 'auc',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'n_jobs': -1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Время обучения составило несколько минут. На валидационной выборке результаты метрик оказались таковыми: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Confusion_matrix: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[[17779   133]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[ 1463   625]]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Accuracy: 0.9202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Precision: 0.8245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Recall: 0.2993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F1: 0.4392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AUC: 0.6460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Результаты метрик лучше , чем у модели логистической регрессии. Высокая точность, при небольшой полноте дает среднюю оценку F-метрики. Результаты модели на скрытых тестовых данных  при посылке в соревнование [1] - 0.89 , весьма неплохой результат.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Также в качестве демонстрации модели можно привести график на рис 6.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390525</wp:posOffset>
            </wp:positionH>
            <wp:positionV relativeFrom="paragraph">
              <wp:posOffset>200025</wp:posOffset>
            </wp:positionV>
            <wp:extent cx="5215255" cy="4091940"/>
            <wp:effectExtent l="0" t="0" r="0" b="0"/>
            <wp:wrapTopAndBottom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рис. 6 график иллюстрирующий важность каждой переменной в построенной модели</w:t>
      </w:r>
    </w:p>
    <w:p>
      <w:pPr>
        <w:pStyle w:val="1"/>
        <w:tabs>
          <w:tab w:val="clear" w:pos="720"/>
          <w:tab w:val="left" w:pos="6393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bookmarkStart w:id="3" w:name="_dvjvbgxdaz0t"/>
      <w:bookmarkEnd w:id="3"/>
      <w:r>
        <w:rPr>
          <w:sz w:val="36"/>
          <w:szCs w:val="36"/>
        </w:rPr>
        <w:t>Вывод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результате работы был произведен анализ данных транзакций и на его основе выбрана модель бинарной классификации. Также было рассмотрено влияние сжатие данных на качество работы модели  на примере сжатия методом главных компонент и модели логистической регрессии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Используемые источники: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sz w:val="21"/>
          <w:szCs w:val="21"/>
          <w:highlight w:val="white"/>
        </w:rPr>
        <w:t xml:space="preserve">Интернер -ресурс [ссылка: </w:t>
      </w:r>
      <w:hyperlink r:id="rId12">
        <w:r>
          <w:rPr>
            <w:color w:val="296EAA"/>
            <w:sz w:val="21"/>
            <w:szCs w:val="21"/>
            <w:highlight w:val="white"/>
            <w:u w:val="single"/>
          </w:rPr>
          <w:t>https://www.kaggle.com/competitions/santander-customer-transaction-prediction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] 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Интернет-ресурс [ссылка: </w:t>
      </w:r>
      <w:hyperlink r:id="rId1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https://docs.scipy.org/doc/scipy/reference/generated/scipy.stats.shapiro.html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]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Интерне-ресурс [ ссылка:  </w:t>
      </w:r>
      <w:hyperlink r:id="rId14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https://docs.scipy.org/doc/scipy/reference/generated/scipy.stats.ks_2samp.html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]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интернет-ресурс [ссылка: </w:t>
      </w:r>
      <w:hyperlink r:id="rId15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https://scikit-learn.org/stable/modules/generated/sklearn.decomposition.PCA.html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]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интернет-ресурс [ ссылка: </w:t>
      </w:r>
      <w:hyperlink r:id="rId16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https://scikit-learn.org/stable/modules/generated/sklearn.linear_model.LogisticRegression.html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]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6393" w:leader="none"/>
        </w:tabs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интернет-ресурс[ссылка: </w:t>
      </w:r>
      <w:hyperlink r:id="rId17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https://lightgbm.readthedocs.io/en/latest/Python-API.html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6393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www.kaggle.com/competitions/santander-customer-transaction-prediction" TargetMode="External"/><Relationship Id="rId13" Type="http://schemas.openxmlformats.org/officeDocument/2006/relationships/hyperlink" Target="https://docs.scipy.org/doc/scipy/reference/generated/scipy.stats.shapiro.html" TargetMode="External"/><Relationship Id="rId14" Type="http://schemas.openxmlformats.org/officeDocument/2006/relationships/hyperlink" Target="https://docs.scipy.org/doc/scipy/reference/generated/scipy.stats.ks_2samp.html" TargetMode="External"/><Relationship Id="rId15" Type="http://schemas.openxmlformats.org/officeDocument/2006/relationships/hyperlink" Target="https://scikit-learn.org/stable/modules/generated/sklearn.decomposition.PCA.html" TargetMode="External"/><Relationship Id="rId16" Type="http://schemas.openxmlformats.org/officeDocument/2006/relationships/hyperlink" Target="https://scikit-learn.org/stable/modules/generated/sklearn.linear_model.LogisticRegression.html" TargetMode="External"/><Relationship Id="rId17" Type="http://schemas.openxmlformats.org/officeDocument/2006/relationships/hyperlink" Target="https://lightgbm.readthedocs.io/en/latest/Python-API.html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9</Pages>
  <Words>1261</Words>
  <Characters>8858</Characters>
  <CharactersWithSpaces>10471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2022-07-20T18:09:13Z</dcterms:modified>
  <cp:revision>1</cp:revision>
  <dc:subject/>
  <dc:title/>
</cp:coreProperties>
</file>