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11111"/>
          <w:sz w:val="56"/>
          <w:szCs w:val="56"/>
        </w:rPr>
        <w:t xml:space="preserve">TONGUES</w:t>
      </w:r>
    </w:p>
    <w:p>
      <w:pPr>
        <w:spacing w:after="60"/>
      </w:pPr>
      <w:r>
        <w:rPr>
          <w:color w:val="555555"/>
          <w:sz w:val="30"/>
          <w:szCs w:val="30"/>
        </w:rPr>
        <w:t xml:space="preserve">Photographic Art Direction Brief</w:t>
      </w:r>
    </w:p>
    <w:p>
      <w:pPr>
        <w:spacing w:after="240"/>
      </w:pPr>
      <w:r>
        <w:rPr>
          <w:i/>
          <w:iCs/>
          <w:color w:val="555555"/>
          <w:sz w:val="22"/>
          <w:szCs w:val="22"/>
        </w:rPr>
        <w:t xml:space="preserve">A black-and-white, National Geographic–style series on the human act of language.</w:t>
      </w:r>
    </w:p>
    <w:p>
      <w:pPr>
        <w:pBdr>
          <w:bottom w:val="single" w:color="111111" w:sz="6" w:space="1"/>
        </w:pBdr>
        <w:spacing w:after="200" w:before="60"/>
      </w:pPr>
      <w:r>
        <w:t xml:space="preserve"/>
      </w:r>
    </w:p>
    <w:p>
      <w:pPr>
        <w:pStyle w:val="Heading1"/>
      </w:pPr>
      <w:r>
        <w:t xml:space="preserve">The idea</w:t>
      </w:r>
    </w:p>
    <w:p>
      <w:pPr>
        <w:spacing w:after="160" w:line="276"/>
      </w:pPr>
      <w:r>
        <w:rPr>
          <w:b w:val="false"/>
          <w:bCs w:val="false"/>
          <w:i w:val="false"/>
          <w:iCs w:val="false"/>
          <w:color w:val="111111"/>
          <w:sz w:val="22"/>
          <w:szCs w:val="22"/>
        </w:rPr>
        <w:t xml:space="preserve">This is a series of intimate, anonymizing portraits of language as a physical act. By cropping to a single site of communication — a mouth, an ear, a pair of hands — and removing the rest of the face, each image reads as “a human communicating” rather than as a particular individual. The look is documentary and dignified: rich black-and-white, fine grain, the gravity of a National Geographic editorial spread. Across the set we see many ethnicities, ages, and features in the act of speaking to and understanding one another.</w:t>
      </w:r>
    </w:p>
    <w:p>
      <w:pPr>
        <w:spacing w:after="160" w:line="276"/>
      </w:pPr>
      <w:r>
        <w:rPr>
          <w:b w:val="false"/>
          <w:bCs w:val="false"/>
          <w:i/>
          <w:iCs/>
          <w:color w:val="555555"/>
          <w:sz w:val="22"/>
          <w:szCs w:val="22"/>
        </w:rPr>
        <w:t xml:space="preserve">The existing mouth crops are the anchor. Everything below extends that same logic — the intimate crop, the direct address, the monochrome restraint — into a coherent body of work rather than a single repeated frame.</w:t>
      </w:r>
    </w:p>
    <w:p>
      <w:pPr>
        <w:pStyle w:val="Heading1"/>
      </w:pPr>
      <w:r>
        <w:t xml:space="preserve">The governing principle</w:t>
      </w:r>
    </w:p>
    <w:p>
      <w:pPr>
        <w:spacing w:after="140" w:line="276"/>
      </w:pPr>
      <w:r>
        <w:rPr>
          <w:b/>
          <w:bCs/>
          <w:color w:val="111111"/>
          <w:sz w:val="22"/>
          <w:szCs w:val="22"/>
        </w:rPr>
        <w:t xml:space="preserve">Isolate one site of communication.  </w:t>
      </w:r>
      <w:r>
        <w:rPr>
          <w:color w:val="111111"/>
          <w:sz w:val="22"/>
          <w:szCs w:val="22"/>
        </w:rPr>
        <w:t xml:space="preserve">Each frame shows a single part of the body where language happens — and withholds the rest.</w:t>
      </w:r>
    </w:p>
    <w:p>
      <w:pPr>
        <w:spacing w:after="140" w:line="276"/>
      </w:pPr>
      <w:r>
        <w:rPr>
          <w:b/>
          <w:bCs/>
          <w:color w:val="111111"/>
          <w:sz w:val="22"/>
          <w:szCs w:val="22"/>
        </w:rPr>
        <w:t xml:space="preserve">Crop for intimacy and anonymity.  </w:t>
      </w:r>
      <w:r>
        <w:rPr>
          <w:color w:val="111111"/>
          <w:sz w:val="22"/>
          <w:szCs w:val="22"/>
        </w:rPr>
        <w:t xml:space="preserve">Close enough to read texture and emotion; cropped enough that identity dissolves into “human.”</w:t>
      </w:r>
    </w:p>
    <w:p>
      <w:pPr>
        <w:spacing w:after="140" w:line="276"/>
      </w:pPr>
      <w:r>
        <w:rPr>
          <w:b/>
          <w:bCs/>
          <w:color w:val="111111"/>
          <w:sz w:val="22"/>
          <w:szCs w:val="22"/>
        </w:rPr>
        <w:t xml:space="preserve">Keep the dignity of monochrome.  </w:t>
      </w:r>
      <w:r>
        <w:rPr>
          <w:color w:val="111111"/>
          <w:sz w:val="22"/>
          <w:szCs w:val="22"/>
        </w:rPr>
        <w:t xml:space="preserve">Black-and-white, fine grain, restrained contrast — observed, never staged or slick.</w:t>
      </w:r>
    </w:p>
    <w:p>
      <w:pPr>
        <w:spacing w:after="140" w:line="276"/>
      </w:pPr>
      <w:r>
        <w:rPr>
          <w:b/>
          <w:bCs/>
          <w:color w:val="111111"/>
          <w:sz w:val="22"/>
          <w:szCs w:val="22"/>
        </w:rPr>
        <w:t xml:space="preserve">Let connection be the subject.  </w:t>
      </w:r>
      <w:r>
        <w:rPr>
          <w:color w:val="111111"/>
          <w:sz w:val="22"/>
          <w:szCs w:val="22"/>
        </w:rPr>
        <w:t xml:space="preserve">Wherever possible, two people in genuine exchange; the relationship is the picture.</w:t>
      </w:r>
    </w:p>
    <w:p>
      <w:pPr>
        <w:pStyle w:val="Heading1"/>
      </w:pPr>
      <w:r>
        <w:t xml:space="preserve">The visual system</w:t>
      </w:r>
    </w:p>
    <w:p>
      <w:pPr>
        <w:spacing w:after="160" w:line="276"/>
      </w:pPr>
      <w:r>
        <w:rPr>
          <w:b w:val="false"/>
          <w:bCs w:val="false"/>
          <w:i w:val="false"/>
          <w:iCs w:val="false"/>
          <w:color w:val="111111"/>
          <w:sz w:val="22"/>
          <w:szCs w:val="22"/>
        </w:rPr>
        <w:t xml:space="preserve">Treat the series as a recurring trio plus rarer punctuation images, so the set has rhythm instead of one idea repeated.</w:t>
      </w:r>
    </w:p>
    <w:p>
      <w:pPr>
        <w:pStyle w:val="Heading2"/>
      </w:pPr>
      <w:r>
        <w:t xml:space="preserve">The core trio (the spine of the series)</w:t>
      </w:r>
    </w:p>
    <w:p>
      <w:pPr>
        <w:pStyle w:val="ListParagraph"/>
        <w:numPr>
          <w:ilvl w:val="0"/>
          <w:numId w:val="2"/>
        </w:numPr>
        <w:spacing w:after="80" w:line="268"/>
      </w:pPr>
      <w:r>
        <w:rPr>
          <w:color w:val="111111"/>
          <w:sz w:val="22"/>
          <w:szCs w:val="22"/>
        </w:rPr>
        <w:t xml:space="preserve">Mouths — speaking. Your established hero motif.</w:t>
      </w:r>
    </w:p>
    <w:p>
      <w:pPr>
        <w:pStyle w:val="ListParagraph"/>
        <w:numPr>
          <w:ilvl w:val="0"/>
          <w:numId w:val="2"/>
        </w:numPr>
        <w:spacing w:after="80" w:line="268"/>
      </w:pPr>
      <w:r>
        <w:rPr>
          <w:color w:val="111111"/>
          <w:sz w:val="22"/>
          <w:szCs w:val="22"/>
        </w:rPr>
        <w:t xml:space="preserve">Ears — listening. The receiving counterpart; shoot to pair directly with mouths.</w:t>
      </w:r>
    </w:p>
    <w:p>
      <w:pPr>
        <w:pStyle w:val="ListParagraph"/>
        <w:numPr>
          <w:ilvl w:val="0"/>
          <w:numId w:val="2"/>
        </w:numPr>
        <w:spacing w:after="80" w:line="268"/>
      </w:pPr>
      <w:r>
        <w:rPr>
          <w:color w:val="111111"/>
          <w:sz w:val="22"/>
          <w:szCs w:val="22"/>
        </w:rPr>
        <w:t xml:space="preserve">Hands — gesture and signed language. Expression beyond the voice.</w:t>
      </w:r>
    </w:p>
    <w:p>
      <w:pPr>
        <w:pStyle w:val="Heading2"/>
      </w:pPr>
      <w:r>
        <w:t xml:space="preserve">Punctuation images (rarer, high-impact)</w:t>
      </w:r>
    </w:p>
    <w:p>
      <w:pPr>
        <w:pStyle w:val="ListParagraph"/>
        <w:numPr>
          <w:ilvl w:val="0"/>
          <w:numId w:val="2"/>
        </w:numPr>
        <w:spacing w:after="80" w:line="268"/>
      </w:pPr>
      <w:r>
        <w:rPr>
          <w:color w:val="111111"/>
          <w:sz w:val="22"/>
          <w:szCs w:val="22"/>
        </w:rPr>
        <w:t xml:space="preserve">The space between two faces — conversation as the gap.</w:t>
      </w:r>
    </w:p>
    <w:p>
      <w:pPr>
        <w:pStyle w:val="ListParagraph"/>
        <w:numPr>
          <w:ilvl w:val="0"/>
          <w:numId w:val="2"/>
        </w:numPr>
        <w:spacing w:after="80" w:line="268"/>
      </w:pPr>
      <w:r>
        <w:rPr>
          <w:color w:val="111111"/>
          <w:sz w:val="22"/>
          <w:szCs w:val="22"/>
        </w:rPr>
        <w:t xml:space="preserve">Breath made visible — speech you can see.</w:t>
      </w:r>
    </w:p>
    <w:p>
      <w:pPr>
        <w:pStyle w:val="ListParagraph"/>
        <w:numPr>
          <w:ilvl w:val="0"/>
          <w:numId w:val="2"/>
        </w:numPr>
        <w:spacing w:after="80" w:line="268"/>
      </w:pPr>
      <w:r>
        <w:rPr>
          <w:color w:val="111111"/>
          <w:sz w:val="22"/>
          <w:szCs w:val="22"/>
        </w:rPr>
        <w:t xml:space="preserve">Eyes meeting — understanding beneath words.</w:t>
      </w:r>
    </w:p>
    <w:p>
      <w:pPr>
        <w:pStyle w:val="ListParagraph"/>
        <w:numPr>
          <w:ilvl w:val="0"/>
          <w:numId w:val="2"/>
        </w:numPr>
        <w:spacing w:after="80" w:line="268"/>
      </w:pPr>
      <w:r>
        <w:rPr>
          <w:color w:val="111111"/>
          <w:sz w:val="22"/>
          <w:szCs w:val="22"/>
        </w:rPr>
        <w:t xml:space="preserve">Fingertips reading — language by touch (braille / script).</w:t>
      </w:r>
    </w:p>
    <w:p>
      <w:pPr>
        <w:pStyle w:val="ListParagraph"/>
        <w:numPr>
          <w:ilvl w:val="0"/>
          <w:numId w:val="2"/>
        </w:numPr>
        <w:spacing w:after="80" w:line="268"/>
      </w:pPr>
      <w:r>
        <w:rPr>
          <w:color w:val="111111"/>
          <w:sz w:val="22"/>
          <w:szCs w:val="22"/>
        </w:rPr>
        <w:t xml:space="preserve">Generational transmission — a child's mouth paired with an elder's.</w:t>
      </w:r>
    </w:p>
    <w:p>
      <w:pPr>
        <w:pStyle w:val="ListParagraph"/>
        <w:numPr>
          <w:ilvl w:val="0"/>
          <w:numId w:val="2"/>
        </w:numPr>
        <w:spacing w:after="80" w:line="268"/>
      </w:pPr>
      <w:r>
        <w:rPr>
          <w:color w:val="111111"/>
          <w:sz w:val="22"/>
          <w:szCs w:val="22"/>
        </w:rPr>
        <w:t xml:space="preserve">The instrument in macro — lips, teeth, tongue mid-phoneme.</w:t>
      </w:r>
    </w:p>
    <w:p>
      <w:pPr>
        <w:pageBreakBefore/>
      </w:pPr>
      <w:r>
        <w:t xml:space="preserve"/>
      </w:r>
    </w:p>
    <w:p>
      <w:pPr>
        <w:pStyle w:val="Heading1"/>
      </w:pPr>
      <w:r>
        <w:t xml:space="preserve">Shot list</w:t>
      </w:r>
    </w:p>
    <w:p>
      <w:pPr>
        <w:spacing w:after="120" w:line="276"/>
      </w:pPr>
      <w:r>
        <w:rPr>
          <w:b w:val="false"/>
          <w:bCs w:val="false"/>
          <w:i/>
          <w:iCs/>
          <w:color w:val="555555"/>
          <w:sz w:val="22"/>
          <w:szCs w:val="22"/>
        </w:rPr>
        <w:t xml:space="preserve">Each motif holds the same crop logic and monochrome treatment. Lighting notes are starting points, not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060"/>
        <w:gridCol w:w="2000"/>
      </w:tblGrid>
      <w:tr>
        <w:trPr>
          <w:tblHeader/>
        </w:trPr>
        <w:tc>
          <w:tcPr>
            <w:tcW w:type="dxa" w:w="17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pPr>
              <w:spacing w:after="0" w:line="252"/>
            </w:pPr>
            <w:r>
              <w:rPr>
                <w:b/>
                <w:bCs/>
                <w:i w:val="false"/>
                <w:iCs w:val="false"/>
                <w:color w:val="FFFFFF"/>
                <w:sz w:val="20"/>
                <w:szCs w:val="20"/>
              </w:rPr>
              <w:t xml:space="preserve">Motif</w:t>
            </w:r>
          </w:p>
        </w:tc>
        <w:tc>
          <w:tcPr>
            <w:tcW w:type="dxa" w:w="26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pPr>
              <w:spacing w:after="0" w:line="252"/>
            </w:pPr>
            <w:r>
              <w:rPr>
                <w:b/>
                <w:bCs/>
                <w:i w:val="false"/>
                <w:iCs w:val="false"/>
                <w:color w:val="FFFFFF"/>
                <w:sz w:val="20"/>
                <w:szCs w:val="20"/>
              </w:rPr>
              <w:t xml:space="preserve">Concept</w:t>
            </w:r>
          </w:p>
        </w:tc>
        <w:tc>
          <w:tcPr>
            <w:tcW w:type="dxa" w:w="30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pPr>
              <w:spacing w:after="0" w:line="252"/>
            </w:pPr>
            <w:r>
              <w:rPr>
                <w:b/>
                <w:bCs/>
                <w:i w:val="false"/>
                <w:iCs w:val="false"/>
                <w:color w:val="FFFFFF"/>
                <w:sz w:val="20"/>
                <w:szCs w:val="20"/>
              </w:rPr>
              <w:t xml:space="preserve">Crop &amp; framing</w:t>
            </w:r>
          </w:p>
        </w:tc>
        <w:tc>
          <w:tcPr>
            <w:tcW w:type="dxa" w:w="20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pPr>
              <w:spacing w:after="0" w:line="252"/>
            </w:pPr>
            <w:r>
              <w:rPr>
                <w:b/>
                <w:bCs/>
                <w:i w:val="false"/>
                <w:iCs w:val="false"/>
                <w:color w:val="FFFFFF"/>
                <w:sz w:val="20"/>
                <w:szCs w:val="20"/>
              </w:rPr>
              <w:t xml:space="preserve">Light</w:t>
            </w:r>
          </w:p>
        </w:tc>
      </w:tr>
      <w:tr>
        <w:trPr>
          <w:tblHeader w:val="false"/>
        </w:trP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bCs/>
                <w:i w:val="false"/>
                <w:iCs w:val="false"/>
                <w:color w:val="111111"/>
                <w:sz w:val="19"/>
                <w:szCs w:val="19"/>
              </w:rPr>
              <w:t xml:space="preserve">Mouths — the hero</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The act of voice. Two mouths mid-conversation, or one addressing the lens.</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Tight horizontal band: nostrils to chin only. Subject square to camera.</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Soft side light to rake lip texture; deep falloff.</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bCs/>
                <w:i w:val="false"/>
                <w:iCs w:val="false"/>
                <w:color w:val="111111"/>
                <w:sz w:val="19"/>
                <w:szCs w:val="19"/>
              </w:rPr>
              <w:t xml:space="preserve">Ears — the listening</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val="false"/>
                <w:bCs w:val="false"/>
                <w:i w:val="false"/>
                <w:iCs w:val="false"/>
                <w:color w:val="111111"/>
                <w:sz w:val="19"/>
                <w:szCs w:val="19"/>
              </w:rPr>
              <w:t xml:space="preserve">The receiving half of language. Pair with mouths as call-and-response.</w:t>
            </w:r>
          </w:p>
        </w:tc>
        <w:tc>
          <w:tcPr>
            <w:tcW w:type="dxa" w:w="30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val="false"/>
                <w:bCs w:val="false"/>
                <w:i w:val="false"/>
                <w:iCs w:val="false"/>
                <w:color w:val="111111"/>
                <w:sz w:val="19"/>
                <w:szCs w:val="19"/>
              </w:rPr>
              <w:t xml:space="preserve">Single ear filling the frame; optional hand cupped behind it.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val="false"/>
                <w:bCs w:val="false"/>
                <w:i w:val="false"/>
                <w:iCs w:val="false"/>
                <w:color w:val="111111"/>
                <w:sz w:val="19"/>
                <w:szCs w:val="19"/>
              </w:rPr>
              <w:t xml:space="preserve">Hard raking light to catch cartilage edges.</w:t>
            </w:r>
          </w:p>
        </w:tc>
      </w:tr>
      <w:tr>
        <w:trPr>
          <w:tblHeader w:val="false"/>
        </w:trP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bCs/>
                <w:i w:val="false"/>
                <w:iCs w:val="false"/>
                <w:color w:val="111111"/>
                <w:sz w:val="19"/>
                <w:szCs w:val="19"/>
              </w:rPr>
              <w:t xml:space="preserve">Hands — gesture &amp; sign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Expression and signed language. Broadens 'language' past the spoken.</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Hands isolated mid-gesture or mid-sign against shadow; no face.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Directional light, strong shadow, hands emerging from black.</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bCs/>
                <w:i w:val="false"/>
                <w:iCs w:val="false"/>
                <w:color w:val="111111"/>
                <w:sz w:val="19"/>
                <w:szCs w:val="19"/>
              </w:rPr>
              <w:t xml:space="preserve">The space between</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val="false"/>
                <w:bCs w:val="false"/>
                <w:i w:val="false"/>
                <w:iCs w:val="false"/>
                <w:color w:val="111111"/>
                <w:sz w:val="19"/>
                <w:szCs w:val="19"/>
              </w:rPr>
              <w:t xml:space="preserve">The conversation lives in the gap, not in either person.</w:t>
            </w:r>
          </w:p>
        </w:tc>
        <w:tc>
          <w:tcPr>
            <w:tcW w:type="dxa" w:w="30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val="false"/>
                <w:bCs w:val="false"/>
                <w:i w:val="false"/>
                <w:iCs w:val="false"/>
                <w:color w:val="111111"/>
                <w:sz w:val="19"/>
                <w:szCs w:val="19"/>
              </w:rPr>
              <w:t xml:space="preserve">Two profiles facing each other; negative space between lips is the subject.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val="false"/>
                <w:bCs w:val="false"/>
                <w:i w:val="false"/>
                <w:iCs w:val="false"/>
                <w:color w:val="111111"/>
                <w:sz w:val="19"/>
                <w:szCs w:val="19"/>
              </w:rPr>
              <w:t xml:space="preserve">Backlight / rim to separate both profiles from ground.</w:t>
            </w:r>
          </w:p>
        </w:tc>
      </w:tr>
      <w:tr>
        <w:trPr>
          <w:tblHeader w:val="false"/>
        </w:trP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bCs/>
                <w:i w:val="false"/>
                <w:iCs w:val="false"/>
                <w:color w:val="111111"/>
                <w:sz w:val="19"/>
                <w:szCs w:val="19"/>
              </w:rPr>
              <w:t xml:space="preserve">Breath made visible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Speech rendered as something you can see leave the body.</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Mouth in profile or 3/4, exhaling in cold air or near a flame.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Backlit vapor against dark ground; low key.</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bCs/>
                <w:i w:val="false"/>
                <w:iCs w:val="false"/>
                <w:color w:val="111111"/>
                <w:sz w:val="19"/>
                <w:szCs w:val="19"/>
              </w:rPr>
              <w:t xml:space="preserve">Eyes meeting</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val="false"/>
                <w:bCs w:val="false"/>
                <w:i w:val="false"/>
                <w:iCs w:val="false"/>
                <w:color w:val="111111"/>
                <w:sz w:val="19"/>
                <w:szCs w:val="19"/>
              </w:rPr>
              <w:t xml:space="preserve">Understanding beneath words. The comprehension half of language.</w:t>
            </w:r>
          </w:p>
        </w:tc>
        <w:tc>
          <w:tcPr>
            <w:tcW w:type="dxa" w:w="30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val="false"/>
                <w:bCs w:val="false"/>
                <w:i w:val="false"/>
                <w:iCs w:val="false"/>
                <w:color w:val="111111"/>
                <w:sz w:val="19"/>
                <w:szCs w:val="19"/>
              </w:rPr>
              <w:t xml:space="preserve">Tight band across two pairs of eyes locked together.</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val="false"/>
                <w:bCs w:val="false"/>
                <w:i w:val="false"/>
                <w:iCs w:val="false"/>
                <w:color w:val="111111"/>
                <w:sz w:val="19"/>
                <w:szCs w:val="19"/>
              </w:rPr>
              <w:t xml:space="preserve">Catchlights essential; soft frontal fill.</w:t>
            </w:r>
          </w:p>
        </w:tc>
      </w:tr>
      <w:tr>
        <w:trPr>
          <w:tblHeader w:val="false"/>
        </w:trP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bCs/>
                <w:i w:val="false"/>
                <w:iCs w:val="false"/>
                <w:color w:val="111111"/>
                <w:sz w:val="19"/>
                <w:szCs w:val="19"/>
              </w:rPr>
              <w:t xml:space="preserve">Fingertips reading</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Language by touch — braille, or a finger tracing script.</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Macro on fingertips on a textured page; shallow depth of field.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Low grazing light to reveal raised texture.</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bCs/>
                <w:i w:val="false"/>
                <w:iCs w:val="false"/>
                <w:color w:val="111111"/>
                <w:sz w:val="19"/>
                <w:szCs w:val="19"/>
              </w:rPr>
              <w:t xml:space="preserve">Generational transmission</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val="false"/>
                <w:bCs w:val="false"/>
                <w:i w:val="false"/>
                <w:iCs w:val="false"/>
                <w:color w:val="111111"/>
                <w:sz w:val="19"/>
                <w:szCs w:val="19"/>
              </w:rPr>
              <w:t xml:space="preserve">Language handed down a lifetime. Inheritance and continuity.</w:t>
            </w:r>
          </w:p>
        </w:tc>
        <w:tc>
          <w:tcPr>
            <w:tcW w:type="dxa" w:w="30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val="false"/>
                <w:bCs w:val="false"/>
                <w:i w:val="false"/>
                <w:iCs w:val="false"/>
                <w:color w:val="111111"/>
                <w:sz w:val="19"/>
                <w:szCs w:val="19"/>
              </w:rPr>
              <w:t xml:space="preserve">Your mouth crop, but pairing a child's mouth with an elder's.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val="false"/>
                <w:bCs w:val="false"/>
                <w:i w:val="false"/>
                <w:iCs w:val="false"/>
                <w:color w:val="111111"/>
                <w:sz w:val="19"/>
                <w:szCs w:val="19"/>
              </w:rPr>
              <w:t xml:space="preserve">Even soft light; let skin-texture contrast carry it.</w:t>
            </w:r>
          </w:p>
        </w:tc>
      </w:tr>
      <w:tr>
        <w:trPr>
          <w:tblHeader w:val="false"/>
        </w:trP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bCs/>
                <w:i w:val="false"/>
                <w:iCs w:val="false"/>
                <w:color w:val="111111"/>
                <w:sz w:val="19"/>
                <w:szCs w:val="19"/>
              </w:rPr>
              <w:t xml:space="preserve">The instrument, macro</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The architecture that makes sound; makes the familiar strange.</w:t>
            </w:r>
          </w:p>
        </w:tc>
        <w:tc>
          <w:tcPr>
            <w:tcW w:type="dxa" w:w="3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Extreme macro: lips, teeth, tongue caught mid-phoneme.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Precise small source; sculptural, near-clinical.</w:t>
            </w:r>
          </w:p>
        </w:tc>
      </w:tr>
    </w:tbl>
    <w:p>
      <w:pPr>
        <w:pStyle w:val="Heading1"/>
      </w:pPr>
      <w:r>
        <w:t xml:space="preserve">Technical &amp; aesthetic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bCs/>
                <w:i w:val="false"/>
                <w:iCs w:val="false"/>
                <w:color w:val="111111"/>
                <w:sz w:val="19"/>
                <w:szCs w:val="19"/>
              </w:rPr>
              <w:t xml:space="preserve">Palette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Black and white only. Rich blacks, retained midtone detail, no crushed whites. Editorial, not high-fashion contrast.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bCs/>
                <w:i w:val="false"/>
                <w:iCs w:val="false"/>
                <w:color w:val="111111"/>
                <w:sz w:val="19"/>
                <w:szCs w:val="19"/>
              </w:rPr>
              <w:t xml:space="preserve">Grain &amp; finish</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Visible fine film grain (Tri-X / HP5 character). Matte, never glossy. The frame should feel printed, not rendered.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bCs/>
                <w:i w:val="false"/>
                <w:iCs w:val="false"/>
                <w:color w:val="111111"/>
                <w:sz w:val="19"/>
                <w:szCs w:val="19"/>
              </w:rPr>
              <w:t xml:space="preserve">Lens &amp; distance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Short telephoto (85–135mm equiv.) for compression and a flattering, observational distance. Subject fills the frame; no wide-angle distortion.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bCs/>
                <w:i w:val="false"/>
                <w:iCs w:val="false"/>
                <w:color w:val="111111"/>
                <w:sz w:val="19"/>
                <w:szCs w:val="19"/>
              </w:rPr>
              <w:t xml:space="preserve">Background</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Seamless deep grey to black, or unobtrusive natural shadow. The crop and the skin are the whole picture — nothing competes.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bCs/>
                <w:i w:val="false"/>
                <w:iCs w:val="false"/>
                <w:color w:val="111111"/>
                <w:sz w:val="19"/>
                <w:szCs w:val="19"/>
              </w:rPr>
              <w:t xml:space="preserve">Direct address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Where a face is present, the subject looks straight down the lens. The viewer is being spoken to, not observed.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bCs/>
                <w:i w:val="false"/>
                <w:iCs w:val="false"/>
                <w:color w:val="111111"/>
                <w:sz w:val="19"/>
                <w:szCs w:val="19"/>
              </w:rPr>
              <w:t xml:space="preserve">Casting</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A genuinely wide range of ethnicities, ages, and features — this is the point of the series, not a quota. Mix youth and age deliberately.</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line="252"/>
            </w:pPr>
            <w:r>
              <w:rPr>
                <w:b/>
                <w:bCs/>
                <w:i w:val="false"/>
                <w:iCs w:val="false"/>
                <w:color w:val="111111"/>
                <w:sz w:val="19"/>
                <w:szCs w:val="19"/>
              </w:rPr>
              <w:t xml:space="preserve">Inclusion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pPr>
            <w:r>
              <w:rPr>
                <w:b w:val="false"/>
                <w:bCs w:val="false"/>
                <w:i w:val="false"/>
                <w:iCs w:val="false"/>
                <w:color w:val="111111"/>
                <w:sz w:val="19"/>
                <w:szCs w:val="19"/>
              </w:rPr>
              <w:t xml:space="preserve">Build signing hands and touch-reading fingertips into the core set so 'language' visibly includes signed and tactile languages.</w:t>
            </w:r>
          </w:p>
        </w:tc>
      </w:tr>
    </w:tbl>
    <w:p>
      <w:pPr>
        <w:pStyle w:val="Heading1"/>
      </w:pPr>
      <w:r>
        <w:t xml:space="preserve">Sequencing</w:t>
      </w:r>
    </w:p>
    <w:p>
      <w:pPr>
        <w:spacing w:after="160" w:line="276"/>
      </w:pPr>
      <w:r>
        <w:rPr>
          <w:b w:val="false"/>
          <w:bCs w:val="false"/>
          <w:i w:val="false"/>
          <w:iCs w:val="false"/>
          <w:color w:val="111111"/>
          <w:sz w:val="22"/>
          <w:szCs w:val="22"/>
        </w:rPr>
        <w:t xml:space="preserve">Build the campaign as call-and-response. Lead with a mouth; answer with an ear. Set two profiles in exchange, then cut to the breath between them. Let the macro and fingertip frames act as quiet, abstract beats between the relational images. The generational pairing is the emotional anchor — use it sparingly, where it lands hardest.</w:t>
      </w:r>
    </w:p>
    <w:p>
      <w:pPr>
        <w:pStyle w:val="Heading1"/>
      </w:pPr>
      <w:r>
        <w:t xml:space="preserve">Do / Don't</w:t>
      </w:r>
    </w:p>
    <w:p>
      <w:pPr>
        <w:pStyle w:val="Heading2"/>
      </w:pPr>
      <w:r>
        <w:t xml:space="preserve">Do</w:t>
      </w:r>
    </w:p>
    <w:p>
      <w:pPr>
        <w:pStyle w:val="ListParagraph"/>
        <w:numPr>
          <w:ilvl w:val="0"/>
          <w:numId w:val="2"/>
        </w:numPr>
        <w:spacing w:after="80" w:line="268"/>
      </w:pPr>
      <w:r>
        <w:rPr>
          <w:color w:val="111111"/>
          <w:sz w:val="22"/>
          <w:szCs w:val="22"/>
        </w:rPr>
        <w:t xml:space="preserve">Hold the crop tight and consistent so the set reads as one body of work.</w:t>
      </w:r>
    </w:p>
    <w:p>
      <w:pPr>
        <w:pStyle w:val="ListParagraph"/>
        <w:numPr>
          <w:ilvl w:val="0"/>
          <w:numId w:val="2"/>
        </w:numPr>
        <w:spacing w:after="80" w:line="268"/>
      </w:pPr>
      <w:r>
        <w:rPr>
          <w:color w:val="111111"/>
          <w:sz w:val="22"/>
          <w:szCs w:val="22"/>
        </w:rPr>
        <w:t xml:space="preserve">Cast for a genuinely broad human range — age contrast as much as ethnicity.</w:t>
      </w:r>
    </w:p>
    <w:p>
      <w:pPr>
        <w:pStyle w:val="ListParagraph"/>
        <w:numPr>
          <w:ilvl w:val="0"/>
          <w:numId w:val="2"/>
        </w:numPr>
        <w:spacing w:after="80" w:line="268"/>
      </w:pPr>
      <w:r>
        <w:rPr>
          <w:color w:val="111111"/>
          <w:sz w:val="22"/>
          <w:szCs w:val="22"/>
        </w:rPr>
        <w:t xml:space="preserve">Shoot mouths and ears in matched pairs so they can run as diptychs.</w:t>
      </w:r>
    </w:p>
    <w:p>
      <w:pPr>
        <w:pStyle w:val="ListParagraph"/>
        <w:numPr>
          <w:ilvl w:val="0"/>
          <w:numId w:val="2"/>
        </w:numPr>
        <w:spacing w:after="80" w:line="268"/>
      </w:pPr>
      <w:r>
        <w:rPr>
          <w:color w:val="111111"/>
          <w:sz w:val="22"/>
          <w:szCs w:val="22"/>
        </w:rPr>
        <w:t xml:space="preserve">Keep direct eye contact wherever a gaze is in frame.</w:t>
      </w:r>
    </w:p>
    <w:p>
      <w:pPr>
        <w:pStyle w:val="Heading2"/>
      </w:pPr>
      <w:r>
        <w:t xml:space="preserve">Don't</w:t>
      </w:r>
    </w:p>
    <w:p>
      <w:pPr>
        <w:pStyle w:val="ListParagraph"/>
        <w:numPr>
          <w:ilvl w:val="0"/>
          <w:numId w:val="2"/>
        </w:numPr>
        <w:spacing w:after="80" w:line="268"/>
      </w:pPr>
      <w:r>
        <w:rPr>
          <w:color w:val="111111"/>
          <w:sz w:val="22"/>
          <w:szCs w:val="22"/>
        </w:rPr>
        <w:t xml:space="preserve">Don't add props, text, or styling that competes with skin and gesture.</w:t>
      </w:r>
    </w:p>
    <w:p>
      <w:pPr>
        <w:pStyle w:val="ListParagraph"/>
        <w:numPr>
          <w:ilvl w:val="0"/>
          <w:numId w:val="2"/>
        </w:numPr>
        <w:spacing w:after="80" w:line="268"/>
      </w:pPr>
      <w:r>
        <w:rPr>
          <w:color w:val="111111"/>
          <w:sz w:val="22"/>
          <w:szCs w:val="22"/>
        </w:rPr>
        <w:t xml:space="preserve">Don't drift into high-fashion gloss — keep it documentary and warm.</w:t>
      </w:r>
    </w:p>
    <w:p>
      <w:pPr>
        <w:pStyle w:val="ListParagraph"/>
        <w:numPr>
          <w:ilvl w:val="0"/>
          <w:numId w:val="2"/>
        </w:numPr>
        <w:spacing w:after="80" w:line="268"/>
      </w:pPr>
      <w:r>
        <w:rPr>
          <w:color w:val="111111"/>
          <w:sz w:val="22"/>
          <w:szCs w:val="22"/>
        </w:rPr>
        <w:t xml:space="preserve">Don't let backgrounds carry information; deep grey-to-black only.</w:t>
      </w:r>
    </w:p>
    <w:p>
      <w:pPr>
        <w:pStyle w:val="ListParagraph"/>
        <w:numPr>
          <w:ilvl w:val="0"/>
          <w:numId w:val="2"/>
        </w:numPr>
        <w:spacing w:after="80" w:line="268"/>
      </w:pPr>
      <w:r>
        <w:rPr>
          <w:color w:val="111111"/>
          <w:sz w:val="22"/>
          <w:szCs w:val="22"/>
        </w:rPr>
        <w:t xml:space="preserve">Don't crush the blacks to silhouette — retain texture in the shadow.</w:t>
      </w:r>
    </w:p>
    <w:p>
      <w:pPr>
        <w:pBdr>
          <w:bottom w:val="single" w:color="111111" w:sz="6" w:space="1"/>
        </w:pBdr>
        <w:spacing w:after="200" w:before="60"/>
      </w:pPr>
      <w:r>
        <w:t xml:space="preserve"/>
      </w:r>
    </w:p>
    <w:p>
      <w:pPr>
        <w:spacing w:after="160" w:line="276"/>
      </w:pPr>
      <w:r>
        <w:rPr>
          <w:b w:val="false"/>
          <w:bCs w:val="false"/>
          <w:i/>
          <w:iCs/>
          <w:color w:val="555555"/>
          <w:sz w:val="22"/>
          <w:szCs w:val="22"/>
        </w:rPr>
        <w:t xml:space="preserve">One series, three sites, one idea: language is something the body does — and something that only happens between people.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TONGUES — Photographic Art Direction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11111"/>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2026-06-23T05:49:51.610Z</dcterms:created>
  <dcterms:modified xsi:type="dcterms:W3CDTF">2026-06-23T05:49:51.610Z</dcterms:modified>
</cp:coreProperties>
</file>

<file path=docProps/custom.xml><?xml version="1.0" encoding="utf-8"?>
<Properties xmlns="http://schemas.openxmlformats.org/officeDocument/2006/custom-properties" xmlns:vt="http://schemas.openxmlformats.org/officeDocument/2006/docPropsVTypes"/>
</file>