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rPr/>
      </w:pPr>
      <w:r w:rsidDel="00000000" w:rsidR="00000000" w:rsidRPr="00000000">
        <w:rPr>
          <w:rtl w:val="0"/>
        </w:rPr>
      </w:r>
    </w:p>
    <w:p w:rsidR="00000000" w:rsidDel="00000000" w:rsidP="00000000" w:rsidRDefault="00000000" w:rsidRPr="00000000" w14:paraId="00000002">
      <w:pPr>
        <w:spacing w:after="0" w:before="0" w:line="276" w:lineRule="auto"/>
        <w:rPr/>
      </w:pPr>
      <w:r w:rsidDel="00000000" w:rsidR="00000000" w:rsidRPr="00000000">
        <w:rPr>
          <w:rtl w:val="0"/>
        </w:rPr>
      </w:r>
    </w:p>
    <w:p w:rsidR="00000000" w:rsidDel="00000000" w:rsidP="00000000" w:rsidRDefault="00000000" w:rsidRPr="00000000" w14:paraId="00000003">
      <w:pPr>
        <w:spacing w:after="0" w:before="0" w:line="276" w:lineRule="auto"/>
        <w:rPr/>
      </w:pPr>
      <w:r w:rsidDel="00000000" w:rsidR="00000000" w:rsidRPr="00000000">
        <w:rPr>
          <w:rtl w:val="0"/>
        </w:rPr>
      </w:r>
    </w:p>
    <w:p w:rsidR="00000000" w:rsidDel="00000000" w:rsidP="00000000" w:rsidRDefault="00000000" w:rsidRPr="00000000" w14:paraId="00000004">
      <w:pPr>
        <w:spacing w:after="0" w:before="0" w:line="276" w:lineRule="auto"/>
        <w:rPr/>
      </w:pPr>
      <w:r w:rsidDel="00000000" w:rsidR="00000000" w:rsidRPr="00000000">
        <w:rPr>
          <w:rtl w:val="0"/>
        </w:rPr>
      </w:r>
    </w:p>
    <w:p w:rsidR="00000000" w:rsidDel="00000000" w:rsidP="00000000" w:rsidRDefault="00000000" w:rsidRPr="00000000" w14:paraId="00000005">
      <w:pPr>
        <w:spacing w:after="0" w:before="0" w:line="276" w:lineRule="auto"/>
        <w:rPr/>
      </w:pPr>
      <w:r w:rsidDel="00000000" w:rsidR="00000000" w:rsidRPr="00000000">
        <w:rPr>
          <w:rtl w:val="0"/>
        </w:rPr>
      </w:r>
    </w:p>
    <w:p w:rsidR="00000000" w:rsidDel="00000000" w:rsidP="00000000" w:rsidRDefault="00000000" w:rsidRPr="00000000" w14:paraId="00000006">
      <w:pPr>
        <w:spacing w:after="0" w:before="0" w:line="276" w:lineRule="auto"/>
        <w:rPr/>
      </w:pPr>
      <w:r w:rsidDel="00000000" w:rsidR="00000000" w:rsidRPr="00000000">
        <w:rPr>
          <w:rtl w:val="0"/>
        </w:rPr>
      </w:r>
    </w:p>
    <w:p w:rsidR="00000000" w:rsidDel="00000000" w:rsidP="00000000" w:rsidRDefault="00000000" w:rsidRPr="00000000" w14:paraId="00000007">
      <w:pPr>
        <w:spacing w:after="0" w:before="0" w:line="276" w:lineRule="auto"/>
        <w:rPr/>
      </w:pPr>
      <w:r w:rsidDel="00000000" w:rsidR="00000000" w:rsidRPr="00000000">
        <w:rPr>
          <w:rtl w:val="0"/>
        </w:rPr>
      </w:r>
    </w:p>
    <w:p w:rsidR="00000000" w:rsidDel="00000000" w:rsidP="00000000" w:rsidRDefault="00000000" w:rsidRPr="00000000" w14:paraId="00000008">
      <w:pPr>
        <w:spacing w:after="0" w:before="0" w:line="276" w:lineRule="auto"/>
        <w:rPr/>
      </w:pPr>
      <w:r w:rsidDel="00000000" w:rsidR="00000000" w:rsidRPr="00000000">
        <w:rPr>
          <w:rtl w:val="0"/>
        </w:rPr>
      </w:r>
    </w:p>
    <w:p w:rsidR="00000000" w:rsidDel="00000000" w:rsidP="00000000" w:rsidRDefault="00000000" w:rsidRPr="00000000" w14:paraId="00000009">
      <w:pPr>
        <w:spacing w:after="20" w:before="0" w:line="276" w:lineRule="auto"/>
        <w:jc w:val="center"/>
        <w:rPr/>
      </w:pPr>
      <w:r w:rsidDel="00000000" w:rsidR="00000000" w:rsidRPr="00000000">
        <w:rPr>
          <w:rFonts w:ascii="Georgia" w:cs="Georgia" w:eastAsia="Georgia" w:hAnsi="Georgia"/>
          <w:b w:val="1"/>
          <w:bCs w:val="1"/>
          <w:color w:val="1a1a1a"/>
          <w:sz w:val="52"/>
          <w:szCs w:val="52"/>
          <w:rtl w:val="0"/>
        </w:rPr>
        <w:t xml:space="preserve">OLYMPUS-GRID</w:t>
      </w:r>
      <w:r w:rsidDel="00000000" w:rsidR="00000000" w:rsidRPr="00000000">
        <w:rPr>
          <w:rtl w:val="0"/>
        </w:rPr>
      </w:r>
    </w:p>
    <w:p w:rsidR="00000000" w:rsidDel="00000000" w:rsidP="00000000" w:rsidRDefault="00000000" w:rsidRPr="00000000" w14:paraId="0000000A">
      <w:pPr>
        <w:spacing w:after="20" w:before="0" w:line="276" w:lineRule="auto"/>
        <w:jc w:val="center"/>
        <w:rPr/>
      </w:pPr>
      <w:r w:rsidDel="00000000" w:rsidR="00000000" w:rsidRPr="00000000">
        <w:rPr>
          <w:rFonts w:ascii="Georgia" w:cs="Georgia" w:eastAsia="Georgia" w:hAnsi="Georgia"/>
          <w:b w:val="1"/>
          <w:bCs w:val="1"/>
          <w:color w:val="c9a84c"/>
          <w:sz w:val="36"/>
          <w:szCs w:val="36"/>
          <w:rtl w:val="0"/>
        </w:rPr>
        <w:t xml:space="preserve">INVESTOR BRIEFING</w:t>
      </w:r>
      <w:r w:rsidDel="00000000" w:rsidR="00000000" w:rsidRPr="00000000">
        <w:rPr>
          <w:rtl w:val="0"/>
        </w:rPr>
      </w:r>
    </w:p>
    <w:p w:rsidR="00000000" w:rsidDel="00000000" w:rsidP="00000000" w:rsidRDefault="00000000" w:rsidRPr="00000000" w14:paraId="0000000B">
      <w:pPr>
        <w:pBdr>
          <w:bottom w:color="999999" w:space="1" w:sz="4" w:val="single"/>
        </w:pBdr>
        <w:spacing w:after="160" w:before="160" w:line="276" w:lineRule="auto"/>
        <w:rPr/>
      </w:pPr>
      <w:r w:rsidDel="00000000" w:rsidR="00000000" w:rsidRPr="00000000">
        <w:rPr>
          <w:rtl w:val="0"/>
        </w:rPr>
      </w:r>
    </w:p>
    <w:p w:rsidR="00000000" w:rsidDel="00000000" w:rsidP="00000000" w:rsidRDefault="00000000" w:rsidRPr="00000000" w14:paraId="0000000C">
      <w:pPr>
        <w:spacing w:after="20" w:before="200" w:line="276" w:lineRule="auto"/>
        <w:jc w:val="center"/>
        <w:rPr/>
      </w:pPr>
      <w:r w:rsidDel="00000000" w:rsidR="00000000" w:rsidRPr="00000000">
        <w:rPr>
          <w:rFonts w:ascii="Georgia" w:cs="Georgia" w:eastAsia="Georgia" w:hAnsi="Georgia"/>
          <w:color w:val="666666"/>
          <w:sz w:val="24"/>
          <w:szCs w:val="24"/>
          <w:rtl w:val="0"/>
        </w:rPr>
        <w:t xml:space="preserve">Sovereign AI Infrastructure</w:t>
      </w:r>
      <w:r w:rsidDel="00000000" w:rsidR="00000000" w:rsidRPr="00000000">
        <w:rPr>
          <w:rtl w:val="0"/>
        </w:rPr>
      </w:r>
    </w:p>
    <w:p w:rsidR="00000000" w:rsidDel="00000000" w:rsidP="00000000" w:rsidRDefault="00000000" w:rsidRPr="00000000" w14:paraId="0000000D">
      <w:pPr>
        <w:spacing w:after="100" w:before="0" w:line="276" w:lineRule="auto"/>
        <w:jc w:val="center"/>
        <w:rPr/>
      </w:pPr>
      <w:r w:rsidDel="00000000" w:rsidR="00000000" w:rsidRPr="00000000">
        <w:rPr>
          <w:rFonts w:ascii="Georgia" w:cs="Georgia" w:eastAsia="Georgia" w:hAnsi="Georgia"/>
          <w:i w:val="1"/>
          <w:iCs w:val="1"/>
          <w:color w:val="888888"/>
          <w:sz w:val="22"/>
          <w:szCs w:val="22"/>
          <w:rtl w:val="0"/>
        </w:rPr>
        <w:t xml:space="preserve">$2,000,000 — Series 1 Redeemable Preferred Units</w:t>
      </w:r>
      <w:r w:rsidDel="00000000" w:rsidR="00000000" w:rsidRPr="00000000">
        <w:rPr>
          <w:rtl w:val="0"/>
        </w:rPr>
      </w:r>
    </w:p>
    <w:p w:rsidR="00000000" w:rsidDel="00000000" w:rsidP="00000000" w:rsidRDefault="00000000" w:rsidRPr="00000000" w14:paraId="0000000E">
      <w:pPr>
        <w:spacing w:after="0" w:before="0" w:line="276" w:lineRule="auto"/>
        <w:rPr/>
      </w:pPr>
      <w:r w:rsidDel="00000000" w:rsidR="00000000" w:rsidRPr="00000000">
        <w:rPr>
          <w:rtl w:val="0"/>
        </w:rPr>
      </w:r>
    </w:p>
    <w:p w:rsidR="00000000" w:rsidDel="00000000" w:rsidP="00000000" w:rsidRDefault="00000000" w:rsidRPr="00000000" w14:paraId="0000000F">
      <w:pPr>
        <w:spacing w:after="0" w:before="0" w:line="276" w:lineRule="auto"/>
        <w:rPr/>
      </w:pPr>
      <w:r w:rsidDel="00000000" w:rsidR="00000000" w:rsidRPr="00000000">
        <w:rPr>
          <w:rtl w:val="0"/>
        </w:rPr>
      </w:r>
    </w:p>
    <w:p w:rsidR="00000000" w:rsidDel="00000000" w:rsidP="00000000" w:rsidRDefault="00000000" w:rsidRPr="00000000" w14:paraId="00000010">
      <w:pPr>
        <w:spacing w:after="0" w:before="0" w:line="276" w:lineRule="auto"/>
        <w:rPr/>
      </w:pPr>
      <w:r w:rsidDel="00000000" w:rsidR="00000000" w:rsidRPr="00000000">
        <w:rPr>
          <w:rtl w:val="0"/>
        </w:rPr>
      </w:r>
    </w:p>
    <w:p w:rsidR="00000000" w:rsidDel="00000000" w:rsidP="00000000" w:rsidRDefault="00000000" w:rsidRPr="00000000" w14:paraId="00000011">
      <w:pPr>
        <w:spacing w:after="0" w:before="0" w:line="276" w:lineRule="auto"/>
        <w:rPr/>
      </w:pPr>
      <w:r w:rsidDel="00000000" w:rsidR="00000000" w:rsidRPr="00000000">
        <w:rPr>
          <w:rtl w:val="0"/>
        </w:rPr>
      </w:r>
    </w:p>
    <w:p w:rsidR="00000000" w:rsidDel="00000000" w:rsidP="00000000" w:rsidRDefault="00000000" w:rsidRPr="00000000" w14:paraId="00000012">
      <w:pPr>
        <w:spacing w:after="0" w:before="0" w:line="276" w:lineRule="auto"/>
        <w:rPr/>
      </w:pPr>
      <w:r w:rsidDel="00000000" w:rsidR="00000000" w:rsidRPr="00000000">
        <w:rPr>
          <w:rtl w:val="0"/>
        </w:rPr>
      </w:r>
    </w:p>
    <w:p w:rsidR="00000000" w:rsidDel="00000000" w:rsidP="00000000" w:rsidRDefault="00000000" w:rsidRPr="00000000" w14:paraId="00000013">
      <w:pPr>
        <w:spacing w:after="0" w:before="0" w:line="276" w:lineRule="auto"/>
        <w:rPr/>
      </w:pPr>
      <w:r w:rsidDel="00000000" w:rsidR="00000000" w:rsidRPr="00000000">
        <w:rPr>
          <w:rtl w:val="0"/>
        </w:rPr>
      </w:r>
    </w:p>
    <w:p w:rsidR="00000000" w:rsidDel="00000000" w:rsidP="00000000" w:rsidRDefault="00000000" w:rsidRPr="00000000" w14:paraId="00000014">
      <w:pPr>
        <w:spacing w:after="0" w:before="0" w:line="276" w:lineRule="auto"/>
        <w:rPr/>
      </w:pPr>
      <w:r w:rsidDel="00000000" w:rsidR="00000000" w:rsidRPr="00000000">
        <w:rPr>
          <w:rtl w:val="0"/>
        </w:rPr>
      </w:r>
    </w:p>
    <w:p w:rsidR="00000000" w:rsidDel="00000000" w:rsidP="00000000" w:rsidRDefault="00000000" w:rsidRPr="00000000" w14:paraId="00000015">
      <w:pPr>
        <w:spacing w:after="0" w:before="0" w:line="276" w:lineRule="auto"/>
        <w:rPr/>
      </w:pPr>
      <w:r w:rsidDel="00000000" w:rsidR="00000000" w:rsidRPr="00000000">
        <w:rPr>
          <w:rtl w:val="0"/>
        </w:rPr>
      </w:r>
    </w:p>
    <w:p w:rsidR="00000000" w:rsidDel="00000000" w:rsidP="00000000" w:rsidRDefault="00000000" w:rsidRPr="00000000" w14:paraId="00000016">
      <w:pPr>
        <w:spacing w:after="0" w:before="0" w:line="276" w:lineRule="auto"/>
        <w:rPr/>
      </w:pPr>
      <w:r w:rsidDel="00000000" w:rsidR="00000000" w:rsidRPr="00000000">
        <w:rPr>
          <w:rtl w:val="0"/>
        </w:rPr>
      </w:r>
    </w:p>
    <w:p w:rsidR="00000000" w:rsidDel="00000000" w:rsidP="00000000" w:rsidRDefault="00000000" w:rsidRPr="00000000" w14:paraId="00000017">
      <w:pPr>
        <w:spacing w:after="0" w:before="0" w:line="276" w:lineRule="auto"/>
        <w:rPr/>
      </w:pPr>
      <w:r w:rsidDel="00000000" w:rsidR="00000000" w:rsidRPr="00000000">
        <w:rPr>
          <w:rtl w:val="0"/>
        </w:rPr>
      </w:r>
    </w:p>
    <w:p w:rsidR="00000000" w:rsidDel="00000000" w:rsidP="00000000" w:rsidRDefault="00000000" w:rsidRPr="00000000" w14:paraId="00000018">
      <w:pPr>
        <w:spacing w:after="0" w:before="0" w:line="276" w:lineRule="auto"/>
        <w:rPr/>
      </w:pPr>
      <w:r w:rsidDel="00000000" w:rsidR="00000000" w:rsidRPr="00000000">
        <w:rPr>
          <w:rtl w:val="0"/>
        </w:rPr>
      </w:r>
    </w:p>
    <w:p w:rsidR="00000000" w:rsidDel="00000000" w:rsidP="00000000" w:rsidRDefault="00000000" w:rsidRPr="00000000" w14:paraId="00000019">
      <w:pPr>
        <w:spacing w:after="100" w:before="0" w:line="276" w:lineRule="auto"/>
        <w:jc w:val="center"/>
        <w:rPr/>
      </w:pPr>
      <w:r w:rsidDel="00000000" w:rsidR="00000000" w:rsidRPr="00000000">
        <w:rPr>
          <w:rFonts w:ascii="Georgia" w:cs="Georgia" w:eastAsia="Georgia" w:hAnsi="Georgia"/>
          <w:color w:val="aaaaaa"/>
          <w:sz w:val="18"/>
          <w:szCs w:val="18"/>
          <w:rtl w:val="0"/>
        </w:rPr>
        <w:t xml:space="preserve">CloudPremise LLC — Confidential</w:t>
      </w:r>
      <w:r w:rsidDel="00000000" w:rsidR="00000000" w:rsidRPr="00000000">
        <w:rPr>
          <w:rtl w:val="0"/>
        </w:rPr>
      </w:r>
    </w:p>
    <w:p w:rsidR="00000000" w:rsidDel="00000000" w:rsidP="00000000" w:rsidRDefault="00000000" w:rsidRPr="00000000" w14:paraId="0000001A">
      <w:pPr>
        <w:spacing w:after="100" w:before="0" w:line="276" w:lineRule="auto"/>
        <w:jc w:val="center"/>
        <w:rPr/>
        <w:sectPr>
          <w:pgSz w:h="15840" w:w="12240" w:orient="portrait"/>
          <w:pgMar w:bottom="1440" w:top="1440" w:left="1440" w:right="1440" w:header="708" w:footer="708"/>
          <w:pgNumType w:start="1"/>
        </w:sectPr>
      </w:pPr>
      <w:r w:rsidDel="00000000" w:rsidR="00000000" w:rsidRPr="00000000">
        <w:rPr>
          <w:rFonts w:ascii="Georgia" w:cs="Georgia" w:eastAsia="Georgia" w:hAnsi="Georgia"/>
          <w:color w:val="aaaaaa"/>
          <w:sz w:val="18"/>
          <w:szCs w:val="18"/>
          <w:rtl w:val="0"/>
        </w:rPr>
        <w:t xml:space="preserve">Prepared March 2026</w:t>
      </w:r>
      <w:r w:rsidDel="00000000" w:rsidR="00000000" w:rsidRPr="00000000">
        <w:rPr>
          <w:rtl w:val="0"/>
        </w:rPr>
      </w:r>
    </w:p>
    <w:p w:rsidR="00000000" w:rsidDel="00000000" w:rsidP="00000000" w:rsidRDefault="00000000" w:rsidRPr="00000000" w14:paraId="0000001B">
      <w:pPr>
        <w:pStyle w:val="Heading1"/>
        <w:spacing w:after="100" w:before="0" w:line="276" w:lineRule="auto"/>
        <w:jc w:val="left"/>
        <w:rPr/>
      </w:pPr>
      <w:r w:rsidDel="00000000" w:rsidR="00000000" w:rsidRPr="00000000">
        <w:rPr>
          <w:rFonts w:ascii="Georgia" w:cs="Georgia" w:eastAsia="Georgia" w:hAnsi="Georgia"/>
          <w:b w:val="1"/>
          <w:bCs w:val="1"/>
          <w:sz w:val="32"/>
          <w:szCs w:val="32"/>
          <w:rtl w:val="0"/>
        </w:rPr>
        <w:t xml:space="preserve">THE OPPORTUNITY</w:t>
      </w:r>
      <w:r w:rsidDel="00000000" w:rsidR="00000000" w:rsidRPr="00000000">
        <w:rPr>
          <w:rtl w:val="0"/>
        </w:rPr>
      </w:r>
    </w:p>
    <w:p w:rsidR="00000000" w:rsidDel="00000000" w:rsidP="00000000" w:rsidRDefault="00000000" w:rsidRPr="00000000" w14:paraId="0000001C">
      <w:pPr>
        <w:spacing w:after="100" w:before="0" w:line="276" w:lineRule="auto"/>
        <w:jc w:val="left"/>
        <w:rPr/>
      </w:pPr>
      <w:r w:rsidDel="00000000" w:rsidR="00000000" w:rsidRPr="00000000">
        <w:rPr>
          <w:rFonts w:ascii="Georgia" w:cs="Georgia" w:eastAsia="Georgia" w:hAnsi="Georgia"/>
          <w:sz w:val="22"/>
          <w:szCs w:val="22"/>
          <w:rtl w:val="0"/>
        </w:rPr>
        <w:t xml:space="preserve">The AI industry is consolidating around a model that strips users of control. Every major platform — OpenAI, Google, Microsoft — requires users to send their data to someone else’s servers, run someone else’s models, and accept someone else’s terms. Enterprises in regulated industries (healthcare, financial services, government) face an impossible choice: adopt AI and accept the compliance risk, or refuse AI and accept the competitive risk.</w:t>
      </w:r>
      <w:r w:rsidDel="00000000" w:rsidR="00000000" w:rsidRPr="00000000">
        <w:rPr>
          <w:rtl w:val="0"/>
        </w:rPr>
      </w:r>
    </w:p>
    <w:p w:rsidR="00000000" w:rsidDel="00000000" w:rsidP="00000000" w:rsidRDefault="00000000" w:rsidRPr="00000000" w14:paraId="0000001D">
      <w:pPr>
        <w:spacing w:after="100" w:before="0" w:line="276" w:lineRule="auto"/>
        <w:jc w:val="left"/>
        <w:rPr/>
      </w:pPr>
      <w:r w:rsidDel="00000000" w:rsidR="00000000" w:rsidRPr="00000000">
        <w:rPr>
          <w:rFonts w:ascii="Georgia" w:cs="Georgia" w:eastAsia="Georgia" w:hAnsi="Georgia"/>
          <w:sz w:val="22"/>
          <w:szCs w:val="22"/>
          <w:rtl w:val="0"/>
        </w:rPr>
        <w:t xml:space="preserve">Olympus-Grid eliminates that choice.</w:t>
      </w:r>
      <w:r w:rsidDel="00000000" w:rsidR="00000000" w:rsidRPr="00000000">
        <w:rPr>
          <w:rtl w:val="0"/>
        </w:rPr>
      </w:r>
    </w:p>
    <w:p w:rsidR="00000000" w:rsidDel="00000000" w:rsidP="00000000" w:rsidRDefault="00000000" w:rsidRPr="00000000" w14:paraId="0000001E">
      <w:pPr>
        <w:spacing w:after="100" w:before="0" w:line="276" w:lineRule="auto"/>
        <w:jc w:val="left"/>
        <w:rPr/>
      </w:pPr>
      <w:r w:rsidDel="00000000" w:rsidR="00000000" w:rsidRPr="00000000">
        <w:rPr>
          <w:rFonts w:ascii="Georgia" w:cs="Georgia" w:eastAsia="Georgia" w:hAnsi="Georgia"/>
          <w:sz w:val="22"/>
          <w:szCs w:val="22"/>
          <w:rtl w:val="0"/>
        </w:rPr>
        <w:t xml:space="preserve">Olympus-Grid is a sovereign AI infrastructure platform that enables any user — individual or enterprise — to run AI on their own hardware, with their own models, connected to their own data, under their own control. The platform deploys identically across local machines, private clouds, and public infrastructure with zero code changes. Users choose their AI models, their deployment location, and their security posture. The platform connects to enterprise systems (Salesforce, Google Calendar, HubSpot, and others) through OAuth-authorized APIs — secure, permissioned, revocable.</w:t>
      </w:r>
      <w:r w:rsidDel="00000000" w:rsidR="00000000" w:rsidRPr="00000000">
        <w:rPr>
          <w:rtl w:val="0"/>
        </w:rPr>
      </w:r>
    </w:p>
    <w:p w:rsidR="00000000" w:rsidDel="00000000" w:rsidP="00000000" w:rsidRDefault="00000000" w:rsidRPr="00000000" w14:paraId="0000001F">
      <w:pPr>
        <w:pStyle w:val="Heading1"/>
        <w:spacing w:after="100" w:before="0" w:line="276" w:lineRule="auto"/>
        <w:jc w:val="left"/>
        <w:rPr/>
      </w:pPr>
      <w:r w:rsidDel="00000000" w:rsidR="00000000" w:rsidRPr="00000000">
        <w:rPr>
          <w:rFonts w:ascii="Georgia" w:cs="Georgia" w:eastAsia="Georgia" w:hAnsi="Georgia"/>
          <w:b w:val="1"/>
          <w:bCs w:val="1"/>
          <w:sz w:val="32"/>
          <w:szCs w:val="32"/>
          <w:rtl w:val="0"/>
        </w:rPr>
        <w:t xml:space="preserve">WHAT EXISTS TODAY</w:t>
      </w:r>
      <w:r w:rsidDel="00000000" w:rsidR="00000000" w:rsidRPr="00000000">
        <w:rPr>
          <w:rtl w:val="0"/>
        </w:rPr>
      </w:r>
    </w:p>
    <w:p w:rsidR="00000000" w:rsidDel="00000000" w:rsidP="00000000" w:rsidRDefault="00000000" w:rsidRPr="00000000" w14:paraId="00000020">
      <w:pPr>
        <w:spacing w:after="100" w:before="0" w:line="276" w:lineRule="auto"/>
        <w:jc w:val="left"/>
        <w:rPr/>
      </w:pPr>
      <w:r w:rsidDel="00000000" w:rsidR="00000000" w:rsidRPr="00000000">
        <w:rPr>
          <w:rFonts w:ascii="Georgia" w:cs="Georgia" w:eastAsia="Georgia" w:hAnsi="Georgia"/>
          <w:sz w:val="22"/>
          <w:szCs w:val="22"/>
          <w:rtl w:val="0"/>
        </w:rPr>
        <w:t xml:space="preserve">This is not a pitch for a product that hasn’t been built. Olympus-Grid is operational:</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 31-service mesh running simultaneously on local hardware, with automatic health monitoring, self-healing fleet management, and comprehensive logging across all components.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 iPhone application (TurtleShell.ai) that connects to the mesh, streams AI responses in real-time, and integrates with Salesforce through OAuth 2.0 PKCE authentication — all running through the sovereign infrastructure.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The complete architecture deployed on AWS ECS/Fargate with CloudFront distribution, proving portability across local development and cloud environments.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Enterprise Salesforce integration demonstrating CRM data access through MCP (Model Context Protocol) — the same protocol Anthropic has adopted as the industry standard for AI-to-service connectivity.</w:t>
      </w:r>
    </w:p>
    <w:p w:rsidR="00000000" w:rsidDel="00000000" w:rsidP="00000000" w:rsidRDefault="00000000" w:rsidRPr="00000000" w14:paraId="00000025">
      <w:pPr>
        <w:spacing w:after="100" w:before="0" w:line="276" w:lineRule="auto"/>
        <w:jc w:val="left"/>
        <w:rPr/>
      </w:pPr>
      <w:r w:rsidDel="00000000" w:rsidR="00000000" w:rsidRPr="00000000">
        <w:rPr>
          <w:rFonts w:ascii="Georgia" w:cs="Georgia" w:eastAsia="Georgia" w:hAnsi="Georgia"/>
          <w:sz w:val="22"/>
          <w:szCs w:val="22"/>
          <w:rtl w:val="0"/>
        </w:rPr>
        <w:t xml:space="preserve">The platform has been in development for four years. The investment funds commercialization of working technology, not research.</w:t>
      </w:r>
      <w:r w:rsidDel="00000000" w:rsidR="00000000" w:rsidRPr="00000000">
        <w:rPr>
          <w:rtl w:val="0"/>
        </w:rPr>
      </w:r>
    </w:p>
    <w:p w:rsidR="00000000" w:rsidDel="00000000" w:rsidP="00000000" w:rsidRDefault="00000000" w:rsidRPr="00000000" w14:paraId="00000026">
      <w:pPr>
        <w:pStyle w:val="Heading1"/>
        <w:spacing w:after="100" w:before="0" w:line="276" w:lineRule="auto"/>
        <w:jc w:val="left"/>
        <w:rPr/>
      </w:pPr>
      <w:r w:rsidDel="00000000" w:rsidR="00000000" w:rsidRPr="00000000">
        <w:rPr>
          <w:rFonts w:ascii="Georgia" w:cs="Georgia" w:eastAsia="Georgia" w:hAnsi="Georgia"/>
          <w:b w:val="1"/>
          <w:bCs w:val="1"/>
          <w:sz w:val="32"/>
          <w:szCs w:val="32"/>
          <w:rtl w:val="0"/>
        </w:rPr>
        <w:t xml:space="preserve">THE FOUNDER</w:t>
      </w:r>
      <w:r w:rsidDel="00000000" w:rsidR="00000000" w:rsidRPr="00000000">
        <w:rPr>
          <w:rtl w:val="0"/>
        </w:rPr>
      </w:r>
    </w:p>
    <w:p w:rsidR="00000000" w:rsidDel="00000000" w:rsidP="00000000" w:rsidRDefault="00000000" w:rsidRPr="00000000" w14:paraId="00000027">
      <w:pPr>
        <w:spacing w:after="100" w:before="0" w:line="276" w:lineRule="auto"/>
        <w:jc w:val="left"/>
        <w:rPr/>
      </w:pPr>
      <w:r w:rsidDel="00000000" w:rsidR="00000000" w:rsidRPr="00000000">
        <w:rPr>
          <w:rFonts w:ascii="Georgia" w:cs="Georgia" w:eastAsia="Georgia" w:hAnsi="Georgia"/>
          <w:sz w:val="22"/>
          <w:szCs w:val="22"/>
          <w:rtl w:val="0"/>
        </w:rPr>
        <w:t xml:space="preserve">The Founder is a Salesforce Certified Technical Architect (CTA) — the highest technical certification in the Salesforce ecosystem, held by fewer than 500 people globally. His career spans enterprise architecture for healthcare, life sciences, and financial services organizations, including multi-org Salesforce consolidations, legacy CRM migrations, and the design and delivery of platforms handling sensitive regulated data.</w:t>
      </w:r>
      <w:r w:rsidDel="00000000" w:rsidR="00000000" w:rsidRPr="00000000">
        <w:rPr>
          <w:rtl w:val="0"/>
        </w:rPr>
      </w:r>
    </w:p>
    <w:p w:rsidR="00000000" w:rsidDel="00000000" w:rsidP="00000000" w:rsidRDefault="00000000" w:rsidRPr="00000000" w14:paraId="00000028">
      <w:pPr>
        <w:spacing w:after="100" w:before="0" w:line="276" w:lineRule="auto"/>
        <w:jc w:val="left"/>
        <w:rPr/>
      </w:pPr>
      <w:r w:rsidDel="00000000" w:rsidR="00000000" w:rsidRPr="00000000">
        <w:rPr>
          <w:rFonts w:ascii="Georgia" w:cs="Georgia" w:eastAsia="Georgia" w:hAnsi="Georgia"/>
          <w:sz w:val="22"/>
          <w:szCs w:val="22"/>
          <w:rtl w:val="0"/>
        </w:rPr>
        <w:t xml:space="preserve">Prior to Olympus-Grid, the Founder co-founded a native Salesforce ISV that was successfully acquired. He brings direct experience building, scaling, and exiting enterprise technology products.</w:t>
      </w:r>
      <w:r w:rsidDel="00000000" w:rsidR="00000000" w:rsidRPr="00000000">
        <w:rPr>
          <w:rtl w:val="0"/>
        </w:rPr>
      </w:r>
    </w:p>
    <w:p w:rsidR="00000000" w:rsidDel="00000000" w:rsidP="00000000" w:rsidRDefault="00000000" w:rsidRPr="00000000" w14:paraId="00000029">
      <w:pPr>
        <w:spacing w:after="100" w:before="0" w:line="276" w:lineRule="auto"/>
        <w:jc w:val="left"/>
        <w:rPr/>
      </w:pPr>
      <w:r w:rsidDel="00000000" w:rsidR="00000000" w:rsidRPr="00000000">
        <w:rPr>
          <w:rFonts w:ascii="Georgia" w:cs="Georgia" w:eastAsia="Georgia" w:hAnsi="Georgia"/>
          <w:sz w:val="22"/>
          <w:szCs w:val="22"/>
          <w:rtl w:val="0"/>
        </w:rPr>
        <w:t xml:space="preserve">The Founder designed, built, and deployed the entire Olympus-Grid platform — 31 services, the iOS application, the enterprise integrations, and the infrastructure automation — as a solo engineer over four years. The investment funds the transition from solo development to a commercial operation.</w:t>
      </w:r>
      <w:r w:rsidDel="00000000" w:rsidR="00000000" w:rsidRPr="00000000">
        <w:rPr>
          <w:rtl w:val="0"/>
        </w:rPr>
      </w:r>
    </w:p>
    <w:p w:rsidR="00000000" w:rsidDel="00000000" w:rsidP="00000000" w:rsidRDefault="00000000" w:rsidRPr="00000000" w14:paraId="0000002A">
      <w:pPr>
        <w:pStyle w:val="Heading1"/>
        <w:spacing w:after="100" w:before="0" w:line="276" w:lineRule="auto"/>
        <w:jc w:val="left"/>
        <w:rPr/>
      </w:pPr>
      <w:r w:rsidDel="00000000" w:rsidR="00000000" w:rsidRPr="00000000">
        <w:rPr>
          <w:rFonts w:ascii="Georgia" w:cs="Georgia" w:eastAsia="Georgia" w:hAnsi="Georgia"/>
          <w:b w:val="1"/>
          <w:bCs w:val="1"/>
          <w:sz w:val="32"/>
          <w:szCs w:val="32"/>
          <w:rtl w:val="0"/>
        </w:rPr>
        <w:t xml:space="preserve">THE MARKET</w:t>
      </w:r>
      <w:r w:rsidDel="00000000" w:rsidR="00000000" w:rsidRPr="00000000">
        <w:rPr>
          <w:rtl w:val="0"/>
        </w:rPr>
      </w:r>
    </w:p>
    <w:p w:rsidR="00000000" w:rsidDel="00000000" w:rsidP="00000000" w:rsidRDefault="00000000" w:rsidRPr="00000000" w14:paraId="0000002B">
      <w:pPr>
        <w:spacing w:after="100" w:before="0" w:line="276" w:lineRule="auto"/>
        <w:jc w:val="left"/>
        <w:rPr/>
      </w:pPr>
      <w:r w:rsidDel="00000000" w:rsidR="00000000" w:rsidRPr="00000000">
        <w:rPr>
          <w:rFonts w:ascii="Georgia" w:cs="Georgia" w:eastAsia="Georgia" w:hAnsi="Georgia"/>
          <w:sz w:val="22"/>
          <w:szCs w:val="22"/>
          <w:rtl w:val="0"/>
        </w:rPr>
        <w:t xml:space="preserve">The sovereign AI infrastructure market is emerging as the counterweight to centralized AI platforms. Key market dynamics:</w:t>
      </w:r>
      <w:r w:rsidDel="00000000" w:rsidR="00000000" w:rsidRPr="00000000">
        <w:rPr>
          <w:rtl w:val="0"/>
        </w:rPr>
      </w:r>
    </w:p>
    <w:p w:rsidR="00000000" w:rsidDel="00000000" w:rsidP="00000000" w:rsidRDefault="00000000" w:rsidRPr="00000000" w14:paraId="0000002C">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Enterprise AI spending is accelerating. </w:t>
      </w:r>
      <w:r w:rsidDel="00000000" w:rsidR="00000000" w:rsidRPr="00000000">
        <w:rPr>
          <w:rFonts w:ascii="Georgia" w:cs="Georgia" w:eastAsia="Georgia" w:hAnsi="Georgia"/>
          <w:sz w:val="22"/>
          <w:szCs w:val="22"/>
          <w:rtl w:val="0"/>
        </w:rPr>
        <w:t xml:space="preserve">Gartner projects enterprise AI spending exceeding $300 billion by 2027. The fastest-growing segment is on-premises and private cloud AI deployment — exactly what Olympus-Grid enables.</w:t>
      </w:r>
      <w:r w:rsidDel="00000000" w:rsidR="00000000" w:rsidRPr="00000000">
        <w:rPr>
          <w:rtl w:val="0"/>
        </w:rPr>
      </w:r>
    </w:p>
    <w:p w:rsidR="00000000" w:rsidDel="00000000" w:rsidP="00000000" w:rsidRDefault="00000000" w:rsidRPr="00000000" w14:paraId="0000002D">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Regulatory pressure is increasing. </w:t>
      </w:r>
      <w:r w:rsidDel="00000000" w:rsidR="00000000" w:rsidRPr="00000000">
        <w:rPr>
          <w:rFonts w:ascii="Georgia" w:cs="Georgia" w:eastAsia="Georgia" w:hAnsi="Georgia"/>
          <w:sz w:val="22"/>
          <w:szCs w:val="22"/>
          <w:rtl w:val="0"/>
        </w:rPr>
        <w:t xml:space="preserve">GDPR, CCPA, HIPAA, and emerging AI regulations are making data sovereignty a legal requirement, not a preference. Organizations processing sensitive data need AI that runs inside their compliance boundary.</w:t>
      </w:r>
      <w:r w:rsidDel="00000000" w:rsidR="00000000" w:rsidRPr="00000000">
        <w:rPr>
          <w:rtl w:val="0"/>
        </w:rPr>
      </w:r>
    </w:p>
    <w:p w:rsidR="00000000" w:rsidDel="00000000" w:rsidP="00000000" w:rsidRDefault="00000000" w:rsidRPr="00000000" w14:paraId="0000002E">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The Salesforce ecosystem is massive and underserved. </w:t>
      </w:r>
      <w:r w:rsidDel="00000000" w:rsidR="00000000" w:rsidRPr="00000000">
        <w:rPr>
          <w:rFonts w:ascii="Georgia" w:cs="Georgia" w:eastAsia="Georgia" w:hAnsi="Georgia"/>
          <w:sz w:val="22"/>
          <w:szCs w:val="22"/>
          <w:rtl w:val="0"/>
        </w:rPr>
        <w:t xml:space="preserve">Salesforce has 150,000+ customers. The AppExchange is a proven distribution channel. A CTA-built AI integration for Salesforce has a built-in market and a credible path to distribution.</w:t>
      </w:r>
      <w:r w:rsidDel="00000000" w:rsidR="00000000" w:rsidRPr="00000000">
        <w:rPr>
          <w:rtl w:val="0"/>
        </w:rPr>
      </w:r>
    </w:p>
    <w:p w:rsidR="00000000" w:rsidDel="00000000" w:rsidP="00000000" w:rsidRDefault="00000000" w:rsidRPr="00000000" w14:paraId="0000002F">
      <w:pPr>
        <w:pStyle w:val="Heading1"/>
        <w:spacing w:after="100" w:before="0" w:line="276" w:lineRule="auto"/>
        <w:jc w:val="left"/>
        <w:rPr/>
      </w:pPr>
      <w:r w:rsidDel="00000000" w:rsidR="00000000" w:rsidRPr="00000000">
        <w:rPr>
          <w:rFonts w:ascii="Georgia" w:cs="Georgia" w:eastAsia="Georgia" w:hAnsi="Georgia"/>
          <w:b w:val="1"/>
          <w:bCs w:val="1"/>
          <w:sz w:val="32"/>
          <w:szCs w:val="32"/>
          <w:rtl w:val="0"/>
        </w:rPr>
        <w:t xml:space="preserve">REVENUE MODEL</w:t>
      </w:r>
      <w:r w:rsidDel="00000000" w:rsidR="00000000" w:rsidRPr="00000000">
        <w:rPr>
          <w:rtl w:val="0"/>
        </w:rPr>
      </w:r>
    </w:p>
    <w:p w:rsidR="00000000" w:rsidDel="00000000" w:rsidP="00000000" w:rsidRDefault="00000000" w:rsidRPr="00000000" w14:paraId="00000030">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Consumer (TurtleShell.ai): </w:t>
      </w:r>
      <w:r w:rsidDel="00000000" w:rsidR="00000000" w:rsidRPr="00000000">
        <w:rPr>
          <w:rFonts w:ascii="Georgia" w:cs="Georgia" w:eastAsia="Georgia" w:hAnsi="Georgia"/>
          <w:sz w:val="22"/>
          <w:szCs w:val="22"/>
          <w:rtl w:val="0"/>
        </w:rPr>
        <w:t xml:space="preserve">Free iPhone app with premium tiers. Pro ($19.99/month) provides cloud AI with advanced features. Sovereign ($49.99/month) provides local AI with complete data sovereignty. The free tier drives adoption; sovereignty drives conversion.</w:t>
      </w:r>
      <w:r w:rsidDel="00000000" w:rsidR="00000000" w:rsidRPr="00000000">
        <w:rPr>
          <w:rtl w:val="0"/>
        </w:rPr>
      </w:r>
    </w:p>
    <w:p w:rsidR="00000000" w:rsidDel="00000000" w:rsidP="00000000" w:rsidRDefault="00000000" w:rsidRPr="00000000" w14:paraId="00000031">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Enterprise (Olympus Grid): </w:t>
      </w:r>
      <w:r w:rsidDel="00000000" w:rsidR="00000000" w:rsidRPr="00000000">
        <w:rPr>
          <w:rFonts w:ascii="Georgia" w:cs="Georgia" w:eastAsia="Georgia" w:hAnsi="Georgia"/>
          <w:sz w:val="22"/>
          <w:szCs w:val="22"/>
          <w:rtl w:val="0"/>
        </w:rPr>
        <w:t xml:space="preserve">Tiered pricing from $500/month (small teams) to $7,500/month (dedicated deployment with SLA). The Founder’s Salesforce CTA credential and enterprise architecture background provide direct access to enterprise buyers in regulated industries.</w:t>
      </w:r>
      <w:r w:rsidDel="00000000" w:rsidR="00000000" w:rsidRPr="00000000">
        <w:rPr>
          <w:rtl w:val="0"/>
        </w:rPr>
      </w:r>
    </w:p>
    <w:p w:rsidR="00000000" w:rsidDel="00000000" w:rsidP="00000000" w:rsidRDefault="00000000" w:rsidRPr="00000000" w14:paraId="00000032">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36-Month Targets: </w:t>
      </w:r>
      <w:r w:rsidDel="00000000" w:rsidR="00000000" w:rsidRPr="00000000">
        <w:rPr>
          <w:rFonts w:ascii="Georgia" w:cs="Georgia" w:eastAsia="Georgia" w:hAnsi="Georgia"/>
          <w:sz w:val="22"/>
          <w:szCs w:val="22"/>
          <w:rtl w:val="0"/>
        </w:rPr>
        <w:t xml:space="preserve">$4.5M annualized revenue run rate by Month 36. 55 enterprise clients at $3,000 blended ARPU. 6,860 paid consumer subscribers. Total 36-month revenue: $4.73M.</w:t>
      </w:r>
      <w:r w:rsidDel="00000000" w:rsidR="00000000" w:rsidRPr="00000000">
        <w:rPr>
          <w:rtl w:val="0"/>
        </w:rPr>
      </w:r>
    </w:p>
    <w:p w:rsidR="00000000" w:rsidDel="00000000" w:rsidP="00000000" w:rsidRDefault="00000000" w:rsidRPr="00000000" w14:paraId="00000033">
      <w:pPr>
        <w:pStyle w:val="Heading1"/>
        <w:spacing w:after="100" w:before="0" w:line="276" w:lineRule="auto"/>
        <w:jc w:val="left"/>
        <w:rPr/>
      </w:pPr>
      <w:r w:rsidDel="00000000" w:rsidR="00000000" w:rsidRPr="00000000">
        <w:rPr>
          <w:rFonts w:ascii="Georgia" w:cs="Georgia" w:eastAsia="Georgia" w:hAnsi="Georgia"/>
          <w:b w:val="1"/>
          <w:bCs w:val="1"/>
          <w:sz w:val="32"/>
          <w:szCs w:val="32"/>
          <w:rtl w:val="0"/>
        </w:rPr>
        <w:t xml:space="preserve">INVESTMENT STRUCTURE</w:t>
      </w:r>
      <w:r w:rsidDel="00000000" w:rsidR="00000000" w:rsidRPr="00000000">
        <w:rPr>
          <w:rtl w:val="0"/>
        </w:rPr>
      </w:r>
    </w:p>
    <w:p w:rsidR="00000000" w:rsidDel="00000000" w:rsidP="00000000" w:rsidRDefault="00000000" w:rsidRPr="00000000" w14:paraId="00000034">
      <w:pPr>
        <w:spacing w:after="100" w:before="0" w:line="276" w:lineRule="auto"/>
        <w:jc w:val="left"/>
        <w:rPr/>
      </w:pPr>
      <w:r w:rsidDel="00000000" w:rsidR="00000000" w:rsidRPr="00000000">
        <w:rPr>
          <w:rFonts w:ascii="Georgia" w:cs="Georgia" w:eastAsia="Georgia" w:hAnsi="Georgia"/>
          <w:sz w:val="22"/>
          <w:szCs w:val="22"/>
          <w:rtl w:val="0"/>
        </w:rPr>
        <w:t xml:space="preserve">CloudPremise LLC is raising $2,000,000 through Series 1 Redeemable Preferred Units — a fixed-return instrument designed for investors who want strong economics without governance entanglement.</w:t>
      </w:r>
      <w:r w:rsidDel="00000000" w:rsidR="00000000" w:rsidRPr="00000000">
        <w:rPr>
          <w:rtl w:val="0"/>
        </w:rPr>
      </w:r>
    </w:p>
    <w:p w:rsidR="00000000" w:rsidDel="00000000" w:rsidP="00000000" w:rsidRDefault="00000000" w:rsidRPr="00000000" w14:paraId="00000035">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Entity: </w:t>
      </w:r>
      <w:r w:rsidDel="00000000" w:rsidR="00000000" w:rsidRPr="00000000">
        <w:rPr>
          <w:rFonts w:ascii="Georgia" w:cs="Georgia" w:eastAsia="Georgia" w:hAnsi="Georgia"/>
          <w:sz w:val="22"/>
          <w:szCs w:val="22"/>
          <w:rtl w:val="0"/>
        </w:rPr>
        <w:t xml:space="preserve">CloudPremise LLC (Colorado) today. The Company intends to convert to a Delaware C-Corporation within 90 days of closing, using a portion of investment proceeds. Upon conversion, Series 1 Units automatically convert into Class C Shares (Non-Voting Common) on identical economic terms.</w:t>
      </w:r>
      <w:r w:rsidDel="00000000" w:rsidR="00000000" w:rsidRPr="00000000">
        <w:rPr>
          <w:rtl w:val="0"/>
        </w:rPr>
      </w:r>
    </w:p>
    <w:p w:rsidR="00000000" w:rsidDel="00000000" w:rsidP="00000000" w:rsidRDefault="00000000" w:rsidRPr="00000000" w14:paraId="00000036">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Returns: </w:t>
      </w:r>
      <w:r w:rsidDel="00000000" w:rsidR="00000000" w:rsidRPr="00000000">
        <w:rPr>
          <w:rFonts w:ascii="Georgia" w:cs="Georgia" w:eastAsia="Georgia" w:hAnsi="Georgia"/>
          <w:sz w:val="22"/>
          <w:szCs w:val="22"/>
          <w:rtl w:val="0"/>
        </w:rPr>
        <w:t xml:space="preserve">8% cumulative preferred return plus a 10–20% redemption premium (escalating by period). Maximum total payout at Month 36: $2,880,000 — representing a 44% total return over 36 months.</w:t>
      </w:r>
      <w:r w:rsidDel="00000000" w:rsidR="00000000" w:rsidRPr="00000000">
        <w:rPr>
          <w:rtl w:val="0"/>
        </w:rPr>
      </w:r>
    </w:p>
    <w:p w:rsidR="00000000" w:rsidDel="00000000" w:rsidP="00000000" w:rsidRDefault="00000000" w:rsidRPr="00000000" w14:paraId="00000037">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Governance: </w:t>
      </w:r>
      <w:r w:rsidDel="00000000" w:rsidR="00000000" w:rsidRPr="00000000">
        <w:rPr>
          <w:rFonts w:ascii="Georgia" w:cs="Georgia" w:eastAsia="Georgia" w:hAnsi="Georgia"/>
          <w:sz w:val="22"/>
          <w:szCs w:val="22"/>
          <w:rtl w:val="0"/>
        </w:rPr>
        <w:t xml:space="preserve">Zero. No voting rights, no board seats, no consent rights, no protective provisions. The Managing Member retains 100% operational control. This is by design — the platform’s value comes from the Founder’s singular architectural vision.</w:t>
      </w:r>
      <w:r w:rsidDel="00000000" w:rsidR="00000000" w:rsidRPr="00000000">
        <w:rPr>
          <w:rtl w:val="0"/>
        </w:rPr>
      </w:r>
    </w:p>
    <w:p w:rsidR="00000000" w:rsidDel="00000000" w:rsidP="00000000" w:rsidRDefault="00000000" w:rsidRPr="00000000" w14:paraId="00000038">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Mandatory Redemption: </w:t>
      </w:r>
      <w:r w:rsidDel="00000000" w:rsidR="00000000" w:rsidRPr="00000000">
        <w:rPr>
          <w:rFonts w:ascii="Georgia" w:cs="Georgia" w:eastAsia="Georgia" w:hAnsi="Georgia"/>
          <w:sz w:val="22"/>
          <w:szCs w:val="22"/>
          <w:rtl w:val="0"/>
        </w:rPr>
        <w:t xml:space="preserve">The Company MUST redeem all units by Month 36. The Investor’s economic interest terminates upon redemption. This is not open-ended equity — it is a fixed-return position with a defined exit.</w:t>
      </w:r>
      <w:r w:rsidDel="00000000" w:rsidR="00000000" w:rsidRPr="00000000">
        <w:rPr>
          <w:rtl w:val="0"/>
        </w:rPr>
      </w:r>
    </w:p>
    <w:p w:rsidR="00000000" w:rsidDel="00000000" w:rsidP="00000000" w:rsidRDefault="00000000" w:rsidRPr="00000000" w14:paraId="00000039">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Downside Protection: </w:t>
      </w:r>
      <w:r w:rsidDel="00000000" w:rsidR="00000000" w:rsidRPr="00000000">
        <w:rPr>
          <w:rFonts w:ascii="Georgia" w:cs="Georgia" w:eastAsia="Georgia" w:hAnsi="Georgia"/>
          <w:sz w:val="22"/>
          <w:szCs w:val="22"/>
          <w:rtl w:val="0"/>
        </w:rPr>
        <w:t xml:space="preserve">Non-participating liquidation preference ensures return of capital plus accrued return before any distributions to common equity holders.</w:t>
      </w:r>
      <w:r w:rsidDel="00000000" w:rsidR="00000000" w:rsidRPr="00000000">
        <w:rPr>
          <w:rtl w:val="0"/>
        </w:rPr>
      </w:r>
    </w:p>
    <w:p w:rsidR="00000000" w:rsidDel="00000000" w:rsidP="00000000" w:rsidRDefault="00000000" w:rsidRPr="00000000" w14:paraId="0000003A">
      <w:pPr>
        <w:pStyle w:val="Heading1"/>
        <w:spacing w:after="100" w:before="0" w:line="276" w:lineRule="auto"/>
        <w:jc w:val="left"/>
        <w:rPr/>
      </w:pPr>
      <w:r w:rsidDel="00000000" w:rsidR="00000000" w:rsidRPr="00000000">
        <w:rPr>
          <w:rFonts w:ascii="Georgia" w:cs="Georgia" w:eastAsia="Georgia" w:hAnsi="Georgia"/>
          <w:b w:val="1"/>
          <w:bCs w:val="1"/>
          <w:sz w:val="32"/>
          <w:szCs w:val="32"/>
          <w:rtl w:val="0"/>
        </w:rPr>
        <w:t xml:space="preserve">THE TITHE</w:t>
      </w:r>
      <w:r w:rsidDel="00000000" w:rsidR="00000000" w:rsidRPr="00000000">
        <w:rPr>
          <w:rtl w:val="0"/>
        </w:rPr>
      </w:r>
    </w:p>
    <w:p w:rsidR="00000000" w:rsidDel="00000000" w:rsidP="00000000" w:rsidRDefault="00000000" w:rsidRPr="00000000" w14:paraId="0000003B">
      <w:pPr>
        <w:spacing w:after="100" w:before="0" w:line="276" w:lineRule="auto"/>
        <w:jc w:val="left"/>
        <w:rPr/>
      </w:pPr>
      <w:r w:rsidDel="00000000" w:rsidR="00000000" w:rsidRPr="00000000">
        <w:rPr>
          <w:rFonts w:ascii="Georgia" w:cs="Georgia" w:eastAsia="Georgia" w:hAnsi="Georgia"/>
          <w:sz w:val="22"/>
          <w:szCs w:val="22"/>
          <w:rtl w:val="0"/>
        </w:rPr>
        <w:t xml:space="preserve">Seven percent (7%) of every dollar of gross revenue is remitted to the Olympus Foundation — a separate entity that owns the Cosmos Logos protocol specification and is dedicated to the elimination of human suffering through technology. This tithe is irrevocable, encoded in the governing documents, and cannot be modified by any vote or action.</w:t>
      </w:r>
      <w:r w:rsidDel="00000000" w:rsidR="00000000" w:rsidRPr="00000000">
        <w:rPr>
          <w:rtl w:val="0"/>
        </w:rPr>
      </w:r>
    </w:p>
    <w:p w:rsidR="00000000" w:rsidDel="00000000" w:rsidP="00000000" w:rsidRDefault="00000000" w:rsidRPr="00000000" w14:paraId="0000003C">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Priority: </w:t>
      </w:r>
      <w:r w:rsidDel="00000000" w:rsidR="00000000" w:rsidRPr="00000000">
        <w:rPr>
          <w:rFonts w:ascii="Georgia" w:cs="Georgia" w:eastAsia="Georgia" w:hAnsi="Georgia"/>
          <w:sz w:val="22"/>
          <w:szCs w:val="22"/>
          <w:rtl w:val="0"/>
        </w:rPr>
        <w:t xml:space="preserve">The Tithe Covenant is senior to all other distributions, including the preferred return on Series 1 Units and any common distributions. The Investor’s economic participation is in 93¢ of every dollar of gross revenue. This is disclosed upfront because it is non-negotiable.</w:t>
      </w:r>
      <w:r w:rsidDel="00000000" w:rsidR="00000000" w:rsidRPr="00000000">
        <w:rPr>
          <w:rtl w:val="0"/>
        </w:rPr>
      </w:r>
    </w:p>
    <w:p w:rsidR="00000000" w:rsidDel="00000000" w:rsidP="00000000" w:rsidRDefault="00000000" w:rsidRPr="00000000" w14:paraId="0000003D">
      <w:pPr>
        <w:spacing w:after="100" w:before="0" w:line="276" w:lineRule="auto"/>
        <w:jc w:val="left"/>
        <w:rPr/>
      </w:pPr>
      <w:r w:rsidDel="00000000" w:rsidR="00000000" w:rsidRPr="00000000">
        <w:rPr>
          <w:rFonts w:ascii="Georgia" w:cs="Georgia" w:eastAsia="Georgia" w:hAnsi="Georgia"/>
          <w:sz w:val="22"/>
          <w:szCs w:val="22"/>
          <w:rtl w:val="0"/>
        </w:rPr>
        <w:t xml:space="preserve">The tithe is not charity — it is architecture. It ensures that commercial success automatically generates humanitarian impact, at scale, in perpetuity. Projected 36-month tithe: $331,210 to the Foundation.</w:t>
      </w:r>
      <w:r w:rsidDel="00000000" w:rsidR="00000000" w:rsidRPr="00000000">
        <w:rPr>
          <w:rtl w:val="0"/>
        </w:rPr>
      </w:r>
    </w:p>
    <w:p w:rsidR="00000000" w:rsidDel="00000000" w:rsidP="00000000" w:rsidRDefault="00000000" w:rsidRPr="00000000" w14:paraId="0000003E">
      <w:pPr>
        <w:pStyle w:val="Heading1"/>
        <w:spacing w:after="100" w:before="0" w:line="276" w:lineRule="auto"/>
        <w:jc w:val="left"/>
        <w:rPr/>
      </w:pPr>
      <w:r w:rsidDel="00000000" w:rsidR="00000000" w:rsidRPr="00000000">
        <w:rPr>
          <w:rFonts w:ascii="Georgia" w:cs="Georgia" w:eastAsia="Georgia" w:hAnsi="Georgia"/>
          <w:b w:val="1"/>
          <w:bCs w:val="1"/>
          <w:sz w:val="32"/>
          <w:szCs w:val="32"/>
          <w:rtl w:val="0"/>
        </w:rPr>
        <w:t xml:space="preserve">USE OF FUNDS</w:t>
      </w:r>
      <w:r w:rsidDel="00000000" w:rsidR="00000000" w:rsidRPr="00000000">
        <w:rPr>
          <w:rtl w:val="0"/>
        </w:rPr>
      </w:r>
    </w:p>
    <w:p w:rsidR="00000000" w:rsidDel="00000000" w:rsidP="00000000" w:rsidRDefault="00000000" w:rsidRPr="00000000" w14:paraId="0000003F">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Product &amp; Engineering (~50%): </w:t>
      </w:r>
      <w:r w:rsidDel="00000000" w:rsidR="00000000" w:rsidRPr="00000000">
        <w:rPr>
          <w:rFonts w:ascii="Georgia" w:cs="Georgia" w:eastAsia="Georgia" w:hAnsi="Georgia"/>
          <w:sz w:val="22"/>
          <w:szCs w:val="22"/>
          <w:rtl w:val="0"/>
        </w:rPr>
        <w:t xml:space="preserve">Three engineering hires over 14 months. Platform hardening, App Store launch, enterprise integration expansion. Infrastructure costs scaling with user growth.</w:t>
      </w:r>
      <w:r w:rsidDel="00000000" w:rsidR="00000000" w:rsidRPr="00000000">
        <w:rPr>
          <w:rtl w:val="0"/>
        </w:rPr>
      </w:r>
    </w:p>
    <w:p w:rsidR="00000000" w:rsidDel="00000000" w:rsidP="00000000" w:rsidRDefault="00000000" w:rsidRPr="00000000" w14:paraId="00000040">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Go-to-Market (~25%): </w:t>
      </w:r>
      <w:r w:rsidDel="00000000" w:rsidR="00000000" w:rsidRPr="00000000">
        <w:rPr>
          <w:rFonts w:ascii="Georgia" w:cs="Georgia" w:eastAsia="Georgia" w:hAnsi="Georgia"/>
          <w:sz w:val="22"/>
          <w:szCs w:val="22"/>
          <w:rtl w:val="0"/>
        </w:rPr>
        <w:t xml:space="preserve">Enterprise sales hire (Month 6), growth marketing hire (Month 14). AppExchange listing. Salesforce ecosystem outreach. Paid user acquisition ramping in Year 2.</w:t>
      </w:r>
      <w:r w:rsidDel="00000000" w:rsidR="00000000" w:rsidRPr="00000000">
        <w:rPr>
          <w:rtl w:val="0"/>
        </w:rPr>
      </w:r>
    </w:p>
    <w:p w:rsidR="00000000" w:rsidDel="00000000" w:rsidP="00000000" w:rsidRDefault="00000000" w:rsidRPr="00000000" w14:paraId="00000041">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Operations &amp; Legal (~15%): </w:t>
      </w:r>
      <w:r w:rsidDel="00000000" w:rsidR="00000000" w:rsidRPr="00000000">
        <w:rPr>
          <w:rFonts w:ascii="Georgia" w:cs="Georgia" w:eastAsia="Georgia" w:hAnsi="Georgia"/>
          <w:sz w:val="22"/>
          <w:szCs w:val="22"/>
          <w:rtl w:val="0"/>
        </w:rPr>
        <w:t xml:space="preserve">Delaware C-Corp formation (within 90 days of closing), securities counsel, ongoing legal and compliance. Founder salary below market rate.</w:t>
      </w:r>
      <w:r w:rsidDel="00000000" w:rsidR="00000000" w:rsidRPr="00000000">
        <w:rPr>
          <w:rtl w:val="0"/>
        </w:rPr>
      </w:r>
    </w:p>
    <w:p w:rsidR="00000000" w:rsidDel="00000000" w:rsidP="00000000" w:rsidRDefault="00000000" w:rsidRPr="00000000" w14:paraId="00000042">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Reserve (~10%): </w:t>
      </w:r>
      <w:r w:rsidDel="00000000" w:rsidR="00000000" w:rsidRPr="00000000">
        <w:rPr>
          <w:rFonts w:ascii="Georgia" w:cs="Georgia" w:eastAsia="Georgia" w:hAnsi="Georgia"/>
          <w:sz w:val="22"/>
          <w:szCs w:val="22"/>
          <w:rtl w:val="0"/>
        </w:rPr>
        <w:t xml:space="preserve">Working capital buffer for the unexpected. Prudent for a 36-month redemption timeline.</w:t>
      </w:r>
      <w:r w:rsidDel="00000000" w:rsidR="00000000" w:rsidRPr="00000000">
        <w:rPr>
          <w:rtl w:val="0"/>
        </w:rPr>
      </w:r>
    </w:p>
    <w:p w:rsidR="00000000" w:rsidDel="00000000" w:rsidP="00000000" w:rsidRDefault="00000000" w:rsidRPr="00000000" w14:paraId="00000043">
      <w:pPr>
        <w:pStyle w:val="Heading1"/>
        <w:spacing w:after="100" w:before="0" w:line="276" w:lineRule="auto"/>
        <w:jc w:val="left"/>
        <w:rPr/>
      </w:pPr>
      <w:r w:rsidDel="00000000" w:rsidR="00000000" w:rsidRPr="00000000">
        <w:rPr>
          <w:rFonts w:ascii="Georgia" w:cs="Georgia" w:eastAsia="Georgia" w:hAnsi="Georgia"/>
          <w:b w:val="1"/>
          <w:bCs w:val="1"/>
          <w:sz w:val="32"/>
          <w:szCs w:val="32"/>
          <w:rtl w:val="0"/>
        </w:rPr>
        <w:t xml:space="preserve">FINANCIAL SUMMARY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2080"/>
        <w:gridCol w:w="2080"/>
        <w:gridCol w:w="2080"/>
        <w:tblGridChange w:id="0">
          <w:tblGrid>
            <w:gridCol w:w="3120"/>
            <w:gridCol w:w="2080"/>
            <w:gridCol w:w="2080"/>
            <w:gridCol w:w="2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60.0" w:type="dxa"/>
              <w:left w:w="100.0" w:type="dxa"/>
              <w:bottom w:w="60.0" w:type="dxa"/>
              <w:right w:w="100.0" w:type="dxa"/>
            </w:tcMar>
          </w:tcPr>
          <w:p w:rsidR="00000000" w:rsidDel="00000000" w:rsidP="00000000" w:rsidRDefault="00000000" w:rsidRPr="00000000" w14:paraId="00000044">
            <w:pPr>
              <w:spacing w:after="0" w:before="0" w:line="276"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60.0" w:type="dxa"/>
              <w:left w:w="100.0" w:type="dxa"/>
              <w:bottom w:w="60.0" w:type="dxa"/>
              <w:right w:w="100.0" w:type="dxa"/>
            </w:tcMar>
          </w:tcPr>
          <w:p w:rsidR="00000000" w:rsidDel="00000000" w:rsidP="00000000" w:rsidRDefault="00000000" w:rsidRPr="00000000" w14:paraId="00000045">
            <w:pPr>
              <w:spacing w:after="0" w:before="0" w:line="276" w:lineRule="auto"/>
              <w:jc w:val="center"/>
              <w:rPr/>
            </w:pPr>
            <w:r w:rsidDel="00000000" w:rsidR="00000000" w:rsidRPr="00000000">
              <w:rPr>
                <w:rFonts w:ascii="Georgia" w:cs="Georgia" w:eastAsia="Georgia" w:hAnsi="Georgia"/>
                <w:b w:val="1"/>
                <w:bCs w:val="1"/>
                <w:sz w:val="20"/>
                <w:szCs w:val="20"/>
                <w:rtl w:val="0"/>
              </w:rPr>
              <w:t xml:space="preserve">Year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60.0" w:type="dxa"/>
              <w:left w:w="100.0" w:type="dxa"/>
              <w:bottom w:w="60.0" w:type="dxa"/>
              <w:right w:w="100.0" w:type="dxa"/>
            </w:tcMar>
          </w:tcPr>
          <w:p w:rsidR="00000000" w:rsidDel="00000000" w:rsidP="00000000" w:rsidRDefault="00000000" w:rsidRPr="00000000" w14:paraId="00000046">
            <w:pPr>
              <w:spacing w:after="0" w:before="0" w:line="276" w:lineRule="auto"/>
              <w:jc w:val="center"/>
              <w:rPr/>
            </w:pPr>
            <w:r w:rsidDel="00000000" w:rsidR="00000000" w:rsidRPr="00000000">
              <w:rPr>
                <w:rFonts w:ascii="Georgia" w:cs="Georgia" w:eastAsia="Georgia" w:hAnsi="Georgia"/>
                <w:b w:val="1"/>
                <w:bCs w:val="1"/>
                <w:sz w:val="20"/>
                <w:szCs w:val="20"/>
                <w:rtl w:val="0"/>
              </w:rPr>
              <w:t xml:space="preserve">Year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60.0" w:type="dxa"/>
              <w:left w:w="100.0" w:type="dxa"/>
              <w:bottom w:w="60.0" w:type="dxa"/>
              <w:right w:w="100.0" w:type="dxa"/>
            </w:tcMar>
          </w:tcPr>
          <w:p w:rsidR="00000000" w:rsidDel="00000000" w:rsidP="00000000" w:rsidRDefault="00000000" w:rsidRPr="00000000" w14:paraId="00000047">
            <w:pPr>
              <w:spacing w:after="0" w:before="0" w:line="276" w:lineRule="auto"/>
              <w:jc w:val="center"/>
              <w:rPr/>
            </w:pPr>
            <w:r w:rsidDel="00000000" w:rsidR="00000000" w:rsidRPr="00000000">
              <w:rPr>
                <w:rFonts w:ascii="Georgia" w:cs="Georgia" w:eastAsia="Georgia" w:hAnsi="Georgia"/>
                <w:b w:val="1"/>
                <w:bCs w:val="1"/>
                <w:sz w:val="20"/>
                <w:szCs w:val="20"/>
                <w:rtl w:val="0"/>
              </w:rPr>
              <w:t xml:space="preserve">Year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8">
            <w:pPr>
              <w:spacing w:after="0" w:before="0" w:line="276" w:lineRule="auto"/>
              <w:jc w:val="left"/>
              <w:rPr/>
            </w:pPr>
            <w:r w:rsidDel="00000000" w:rsidR="00000000" w:rsidRPr="00000000">
              <w:rPr>
                <w:rFonts w:ascii="Georgia" w:cs="Georgia" w:eastAsia="Georgia" w:hAnsi="Georgia"/>
                <w:sz w:val="20"/>
                <w:szCs w:val="20"/>
                <w:rtl w:val="0"/>
              </w:rPr>
              <w:t xml:space="preserve">Total 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9">
            <w:pPr>
              <w:spacing w:after="0" w:before="0" w:line="276" w:lineRule="auto"/>
              <w:jc w:val="right"/>
              <w:rPr/>
            </w:pPr>
            <w:r w:rsidDel="00000000" w:rsidR="00000000" w:rsidRPr="00000000">
              <w:rPr>
                <w:rFonts w:ascii="Georgia" w:cs="Georgia" w:eastAsia="Georgia" w:hAnsi="Georgia"/>
                <w:sz w:val="20"/>
                <w:szCs w:val="20"/>
                <w:rtl w:val="0"/>
              </w:rPr>
              <w:t xml:space="preserve">$201,909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A">
            <w:pPr>
              <w:spacing w:after="0" w:before="0" w:line="276" w:lineRule="auto"/>
              <w:jc w:val="right"/>
              <w:rPr/>
            </w:pPr>
            <w:r w:rsidDel="00000000" w:rsidR="00000000" w:rsidRPr="00000000">
              <w:rPr>
                <w:rFonts w:ascii="Georgia" w:cs="Georgia" w:eastAsia="Georgia" w:hAnsi="Georgia"/>
                <w:sz w:val="20"/>
                <w:szCs w:val="20"/>
                <w:rtl w:val="0"/>
              </w:rPr>
              <w:t xml:space="preserve">$1,239,081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B">
            <w:pPr>
              <w:spacing w:after="0" w:before="0" w:line="276" w:lineRule="auto"/>
              <w:jc w:val="right"/>
              <w:rPr/>
            </w:pPr>
            <w:r w:rsidDel="00000000" w:rsidR="00000000" w:rsidRPr="00000000">
              <w:rPr>
                <w:rFonts w:ascii="Georgia" w:cs="Georgia" w:eastAsia="Georgia" w:hAnsi="Georgia"/>
                <w:sz w:val="20"/>
                <w:szCs w:val="20"/>
                <w:rtl w:val="0"/>
              </w:rPr>
              <w:t xml:space="preserve">$3,290,616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C">
            <w:pPr>
              <w:spacing w:after="0" w:before="0" w:line="276" w:lineRule="auto"/>
              <w:jc w:val="left"/>
              <w:rPr/>
            </w:pPr>
            <w:r w:rsidDel="00000000" w:rsidR="00000000" w:rsidRPr="00000000">
              <w:rPr>
                <w:rFonts w:ascii="Georgia" w:cs="Georgia" w:eastAsia="Georgia" w:hAnsi="Georgia"/>
                <w:sz w:val="20"/>
                <w:szCs w:val="20"/>
                <w:rtl w:val="0"/>
              </w:rPr>
              <w:t xml:space="preserve">Operating Expenses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D">
            <w:pPr>
              <w:spacing w:after="0" w:before="0" w:line="276" w:lineRule="auto"/>
              <w:jc w:val="right"/>
              <w:rPr/>
            </w:pPr>
            <w:r w:rsidDel="00000000" w:rsidR="00000000" w:rsidRPr="00000000">
              <w:rPr>
                <w:rFonts w:ascii="Georgia" w:cs="Georgia" w:eastAsia="Georgia" w:hAnsi="Georgia"/>
                <w:sz w:val="20"/>
                <w:szCs w:val="20"/>
                <w:rtl w:val="0"/>
              </w:rPr>
              <w:t xml:space="preserve">$522,173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E">
            <w:pPr>
              <w:spacing w:after="0" w:before="0" w:line="276" w:lineRule="auto"/>
              <w:jc w:val="right"/>
              <w:rPr/>
            </w:pPr>
            <w:r w:rsidDel="00000000" w:rsidR="00000000" w:rsidRPr="00000000">
              <w:rPr>
                <w:rFonts w:ascii="Georgia" w:cs="Georgia" w:eastAsia="Georgia" w:hAnsi="Georgia"/>
                <w:sz w:val="20"/>
                <w:szCs w:val="20"/>
                <w:rtl w:val="0"/>
              </w:rPr>
              <w:t xml:space="preserve">$1,058,326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F">
            <w:pPr>
              <w:spacing w:after="0" w:before="0" w:line="276" w:lineRule="auto"/>
              <w:jc w:val="right"/>
              <w:rPr/>
            </w:pPr>
            <w:r w:rsidDel="00000000" w:rsidR="00000000" w:rsidRPr="00000000">
              <w:rPr>
                <w:rFonts w:ascii="Georgia" w:cs="Georgia" w:eastAsia="Georgia" w:hAnsi="Georgia"/>
                <w:sz w:val="20"/>
                <w:szCs w:val="20"/>
                <w:rtl w:val="0"/>
              </w:rPr>
              <w:t xml:space="preserve">$1,555,683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0">
            <w:pPr>
              <w:spacing w:after="0" w:before="0" w:line="276" w:lineRule="auto"/>
              <w:jc w:val="left"/>
              <w:rPr/>
            </w:pPr>
            <w:r w:rsidDel="00000000" w:rsidR="00000000" w:rsidRPr="00000000">
              <w:rPr>
                <w:rFonts w:ascii="Georgia" w:cs="Georgia" w:eastAsia="Georgia" w:hAnsi="Georgia"/>
                <w:sz w:val="20"/>
                <w:szCs w:val="20"/>
                <w:rtl w:val="0"/>
              </w:rPr>
              <w:t xml:space="preserve">Net Operating 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1">
            <w:pPr>
              <w:spacing w:after="0" w:before="0" w:line="276" w:lineRule="auto"/>
              <w:jc w:val="right"/>
              <w:rPr/>
            </w:pPr>
            <w:r w:rsidDel="00000000" w:rsidR="00000000" w:rsidRPr="00000000">
              <w:rPr>
                <w:rFonts w:ascii="Georgia" w:cs="Georgia" w:eastAsia="Georgia" w:hAnsi="Georgia"/>
                <w:sz w:val="20"/>
                <w:szCs w:val="20"/>
                <w:rtl w:val="0"/>
              </w:rPr>
              <w:t xml:space="preserve">($334,398)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2">
            <w:pPr>
              <w:spacing w:after="0" w:before="0" w:line="276" w:lineRule="auto"/>
              <w:jc w:val="right"/>
              <w:rPr/>
            </w:pPr>
            <w:r w:rsidDel="00000000" w:rsidR="00000000" w:rsidRPr="00000000">
              <w:rPr>
                <w:rFonts w:ascii="Georgia" w:cs="Georgia" w:eastAsia="Georgia" w:hAnsi="Georgia"/>
                <w:sz w:val="20"/>
                <w:szCs w:val="20"/>
                <w:rtl w:val="0"/>
              </w:rPr>
              <w:t xml:space="preserve">$94,019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3">
            <w:pPr>
              <w:spacing w:after="0" w:before="0" w:line="276" w:lineRule="auto"/>
              <w:jc w:val="right"/>
              <w:rPr/>
            </w:pPr>
            <w:r w:rsidDel="00000000" w:rsidR="00000000" w:rsidRPr="00000000">
              <w:rPr>
                <w:rFonts w:ascii="Georgia" w:cs="Georgia" w:eastAsia="Georgia" w:hAnsi="Georgia"/>
                <w:sz w:val="20"/>
                <w:szCs w:val="20"/>
                <w:rtl w:val="0"/>
              </w:rPr>
              <w:t xml:space="preserve">$1,504,593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4">
            <w:pPr>
              <w:spacing w:after="0" w:before="0" w:line="276" w:lineRule="auto"/>
              <w:jc w:val="left"/>
              <w:rPr/>
            </w:pPr>
            <w:r w:rsidDel="00000000" w:rsidR="00000000" w:rsidRPr="00000000">
              <w:rPr>
                <w:rFonts w:ascii="Georgia" w:cs="Georgia" w:eastAsia="Georgia" w:hAnsi="Georgia"/>
                <w:b w:val="1"/>
                <w:bCs w:val="1"/>
                <w:sz w:val="20"/>
                <w:szCs w:val="20"/>
                <w:rtl w:val="0"/>
              </w:rPr>
              <w:t xml:space="preserve">Closing Cash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60.0" w:type="dxa"/>
              <w:left w:w="100.0" w:type="dxa"/>
              <w:bottom w:w="60.0" w:type="dxa"/>
              <w:right w:w="100.0" w:type="dxa"/>
            </w:tcMar>
          </w:tcPr>
          <w:p w:rsidR="00000000" w:rsidDel="00000000" w:rsidP="00000000" w:rsidRDefault="00000000" w:rsidRPr="00000000" w14:paraId="00000055">
            <w:pPr>
              <w:spacing w:after="0" w:before="0" w:line="276" w:lineRule="auto"/>
              <w:jc w:val="right"/>
              <w:rPr/>
            </w:pPr>
            <w:r w:rsidDel="00000000" w:rsidR="00000000" w:rsidRPr="00000000">
              <w:rPr>
                <w:rFonts w:ascii="Georgia" w:cs="Georgia" w:eastAsia="Georgia" w:hAnsi="Georgia"/>
                <w:b w:val="1"/>
                <w:bCs w:val="1"/>
                <w:sz w:val="20"/>
                <w:szCs w:val="20"/>
                <w:rtl w:val="0"/>
              </w:rPr>
              <w:t xml:space="preserve">$1,665,602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60.0" w:type="dxa"/>
              <w:left w:w="100.0" w:type="dxa"/>
              <w:bottom w:w="60.0" w:type="dxa"/>
              <w:right w:w="100.0" w:type="dxa"/>
            </w:tcMar>
          </w:tcPr>
          <w:p w:rsidR="00000000" w:rsidDel="00000000" w:rsidP="00000000" w:rsidRDefault="00000000" w:rsidRPr="00000000" w14:paraId="00000056">
            <w:pPr>
              <w:spacing w:after="0" w:before="0" w:line="276" w:lineRule="auto"/>
              <w:jc w:val="right"/>
              <w:rPr/>
            </w:pPr>
            <w:r w:rsidDel="00000000" w:rsidR="00000000" w:rsidRPr="00000000">
              <w:rPr>
                <w:rFonts w:ascii="Georgia" w:cs="Georgia" w:eastAsia="Georgia" w:hAnsi="Georgia"/>
                <w:b w:val="1"/>
                <w:bCs w:val="1"/>
                <w:sz w:val="20"/>
                <w:szCs w:val="20"/>
                <w:rtl w:val="0"/>
              </w:rPr>
              <w:t xml:space="preserve">$1,759,621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60.0" w:type="dxa"/>
              <w:left w:w="100.0" w:type="dxa"/>
              <w:bottom w:w="60.0" w:type="dxa"/>
              <w:right w:w="100.0" w:type="dxa"/>
            </w:tcMar>
          </w:tcPr>
          <w:p w:rsidR="00000000" w:rsidDel="00000000" w:rsidP="00000000" w:rsidRDefault="00000000" w:rsidRPr="00000000" w14:paraId="00000057">
            <w:pPr>
              <w:spacing w:after="0" w:before="0" w:line="276" w:lineRule="auto"/>
              <w:jc w:val="right"/>
              <w:rPr/>
            </w:pPr>
            <w:r w:rsidDel="00000000" w:rsidR="00000000" w:rsidRPr="00000000">
              <w:rPr>
                <w:rFonts w:ascii="Georgia" w:cs="Georgia" w:eastAsia="Georgia" w:hAnsi="Georgia"/>
                <w:b w:val="1"/>
                <w:bCs w:val="1"/>
                <w:sz w:val="20"/>
                <w:szCs w:val="20"/>
                <w:rtl w:val="0"/>
              </w:rPr>
              <w:t xml:space="preserve">$3,264,214</w:t>
            </w:r>
            <w:r w:rsidDel="00000000" w:rsidR="00000000" w:rsidRPr="00000000">
              <w:rPr>
                <w:rtl w:val="0"/>
              </w:rPr>
            </w:r>
          </w:p>
        </w:tc>
      </w:tr>
    </w:tbl>
    <w:p w:rsidR="00000000" w:rsidDel="00000000" w:rsidP="00000000" w:rsidRDefault="00000000" w:rsidRPr="00000000" w14:paraId="00000058">
      <w:pPr>
        <w:spacing w:after="100" w:before="0" w:line="276" w:lineRule="auto"/>
        <w:jc w:val="left"/>
        <w:rPr/>
      </w:pPr>
      <w:r w:rsidDel="00000000" w:rsidR="00000000" w:rsidRPr="00000000">
        <w:rPr>
          <w:rFonts w:ascii="Georgia" w:cs="Georgia" w:eastAsia="Georgia" w:hAnsi="Georgia"/>
          <w:sz w:val="22"/>
          <w:szCs w:val="22"/>
          <w:rtl w:val="0"/>
        </w:rPr>
        <w:t xml:space="preserve">The financial model projects the company reaching cash flow positivity in Year 2 and accumulating $3.26M in cash by Month 36 — sufficient to cover the maximum $2.88M redemption obligation with $384K remaining as operating capital. The full 36-month financial model with monthly granularity is provided as a separate deliverable.</w:t>
      </w:r>
      <w:r w:rsidDel="00000000" w:rsidR="00000000" w:rsidRPr="00000000">
        <w:rPr>
          <w:rtl w:val="0"/>
        </w:rPr>
      </w:r>
    </w:p>
    <w:p w:rsidR="00000000" w:rsidDel="00000000" w:rsidP="00000000" w:rsidRDefault="00000000" w:rsidRPr="00000000" w14:paraId="00000059">
      <w:pPr>
        <w:pStyle w:val="Heading1"/>
        <w:spacing w:after="100" w:before="0" w:line="276" w:lineRule="auto"/>
        <w:jc w:val="left"/>
        <w:rPr/>
      </w:pPr>
      <w:r w:rsidDel="00000000" w:rsidR="00000000" w:rsidRPr="00000000">
        <w:rPr>
          <w:rFonts w:ascii="Georgia" w:cs="Georgia" w:eastAsia="Georgia" w:hAnsi="Georgia"/>
          <w:b w:val="1"/>
          <w:bCs w:val="1"/>
          <w:sz w:val="32"/>
          <w:szCs w:val="32"/>
          <w:rtl w:val="0"/>
        </w:rPr>
        <w:t xml:space="preserve">WHY THIS INVESTMENT</w:t>
      </w:r>
      <w:r w:rsidDel="00000000" w:rsidR="00000000" w:rsidRPr="00000000">
        <w:rPr>
          <w:rtl w:val="0"/>
        </w:rPr>
      </w:r>
    </w:p>
    <w:p w:rsidR="00000000" w:rsidDel="00000000" w:rsidP="00000000" w:rsidRDefault="00000000" w:rsidRPr="00000000" w14:paraId="0000005A">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The technology exists. </w:t>
      </w:r>
      <w:r w:rsidDel="00000000" w:rsidR="00000000" w:rsidRPr="00000000">
        <w:rPr>
          <w:rFonts w:ascii="Georgia" w:cs="Georgia" w:eastAsia="Georgia" w:hAnsi="Georgia"/>
          <w:sz w:val="22"/>
          <w:szCs w:val="22"/>
          <w:rtl w:val="0"/>
        </w:rPr>
        <w:t xml:space="preserve">Four years of development. 31 services. Working end-to-end demos. This is not a concept.</w:t>
      </w:r>
      <w:r w:rsidDel="00000000" w:rsidR="00000000" w:rsidRPr="00000000">
        <w:rPr>
          <w:rtl w:val="0"/>
        </w:rPr>
      </w:r>
    </w:p>
    <w:p w:rsidR="00000000" w:rsidDel="00000000" w:rsidP="00000000" w:rsidRDefault="00000000" w:rsidRPr="00000000" w14:paraId="0000005B">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The market is ready. </w:t>
      </w:r>
      <w:r w:rsidDel="00000000" w:rsidR="00000000" w:rsidRPr="00000000">
        <w:rPr>
          <w:rFonts w:ascii="Georgia" w:cs="Georgia" w:eastAsia="Georgia" w:hAnsi="Georgia"/>
          <w:sz w:val="22"/>
          <w:szCs w:val="22"/>
          <w:rtl w:val="0"/>
        </w:rPr>
        <w:t xml:space="preserve">Enterprise AI adoption is accelerating into a regulatory environment that demands sovereignty. The timing is ideal.</w:t>
      </w:r>
      <w:r w:rsidDel="00000000" w:rsidR="00000000" w:rsidRPr="00000000">
        <w:rPr>
          <w:rtl w:val="0"/>
        </w:rPr>
      </w:r>
    </w:p>
    <w:p w:rsidR="00000000" w:rsidDel="00000000" w:rsidP="00000000" w:rsidRDefault="00000000" w:rsidRPr="00000000" w14:paraId="0000005C">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The founder is credible. </w:t>
      </w:r>
      <w:r w:rsidDel="00000000" w:rsidR="00000000" w:rsidRPr="00000000">
        <w:rPr>
          <w:rFonts w:ascii="Georgia" w:cs="Georgia" w:eastAsia="Georgia" w:hAnsi="Georgia"/>
          <w:sz w:val="22"/>
          <w:szCs w:val="22"/>
          <w:rtl w:val="0"/>
        </w:rPr>
        <w:t xml:space="preserve">CTA credential, prior exit, decade of regulated enterprise architecture.</w:t>
      </w:r>
      <w:r w:rsidDel="00000000" w:rsidR="00000000" w:rsidRPr="00000000">
        <w:rPr>
          <w:rtl w:val="0"/>
        </w:rPr>
      </w:r>
    </w:p>
    <w:p w:rsidR="00000000" w:rsidDel="00000000" w:rsidP="00000000" w:rsidRDefault="00000000" w:rsidRPr="00000000" w14:paraId="0000005D">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The structure protects you. </w:t>
      </w:r>
      <w:r w:rsidDel="00000000" w:rsidR="00000000" w:rsidRPr="00000000">
        <w:rPr>
          <w:rFonts w:ascii="Georgia" w:cs="Georgia" w:eastAsia="Georgia" w:hAnsi="Georgia"/>
          <w:sz w:val="22"/>
          <w:szCs w:val="22"/>
          <w:rtl w:val="0"/>
        </w:rPr>
        <w:t xml:space="preserve">Fixed returns, mandatory redemption, liquidation preference. You know exactly what you get and when.</w:t>
      </w:r>
      <w:r w:rsidDel="00000000" w:rsidR="00000000" w:rsidRPr="00000000">
        <w:rPr>
          <w:rtl w:val="0"/>
        </w:rPr>
      </w:r>
    </w:p>
    <w:p w:rsidR="00000000" w:rsidDel="00000000" w:rsidP="00000000" w:rsidRDefault="00000000" w:rsidRPr="00000000" w14:paraId="0000005E">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The mission is real. </w:t>
      </w:r>
      <w:r w:rsidDel="00000000" w:rsidR="00000000" w:rsidRPr="00000000">
        <w:rPr>
          <w:rFonts w:ascii="Georgia" w:cs="Georgia" w:eastAsia="Georgia" w:hAnsi="Georgia"/>
          <w:sz w:val="22"/>
          <w:szCs w:val="22"/>
          <w:rtl w:val="0"/>
        </w:rPr>
        <w:t xml:space="preserve">7% of gross revenue, forever, to eliminate human suffering. Your capital doesn’t just generate returns — it generates impact.</w:t>
      </w:r>
      <w:r w:rsidDel="00000000" w:rsidR="00000000" w:rsidRPr="00000000">
        <w:rPr>
          <w:rtl w:val="0"/>
        </w:rPr>
      </w:r>
    </w:p>
    <w:p w:rsidR="00000000" w:rsidDel="00000000" w:rsidP="00000000" w:rsidRDefault="00000000" w:rsidRPr="00000000" w14:paraId="0000005F">
      <w:pPr>
        <w:pBdr>
          <w:bottom w:color="999999" w:space="1" w:sz="4" w:val="single"/>
        </w:pBdr>
        <w:spacing w:after="160" w:before="160" w:line="276" w:lineRule="auto"/>
        <w:rPr/>
      </w:pPr>
      <w:r w:rsidDel="00000000" w:rsidR="00000000" w:rsidRPr="00000000">
        <w:rPr>
          <w:rtl w:val="0"/>
        </w:rPr>
      </w:r>
    </w:p>
    <w:p w:rsidR="00000000" w:rsidDel="00000000" w:rsidP="00000000" w:rsidRDefault="00000000" w:rsidRPr="00000000" w14:paraId="00000060">
      <w:pPr>
        <w:spacing w:after="100" w:before="0" w:line="276" w:lineRule="auto"/>
        <w:jc w:val="center"/>
        <w:rPr/>
      </w:pPr>
      <w:r w:rsidDel="00000000" w:rsidR="00000000" w:rsidRPr="00000000">
        <w:rPr>
          <w:rFonts w:ascii="Georgia" w:cs="Georgia" w:eastAsia="Georgia" w:hAnsi="Georgia"/>
          <w:i w:val="1"/>
          <w:iCs w:val="1"/>
          <w:sz w:val="20"/>
          <w:szCs w:val="20"/>
          <w:rtl w:val="0"/>
        </w:rPr>
        <w:t xml:space="preserve">Contact: CloudPremise LLC | Managing Member</w:t>
      </w:r>
      <w:r w:rsidDel="00000000" w:rsidR="00000000" w:rsidRPr="00000000">
        <w:rPr>
          <w:rtl w:val="0"/>
        </w:rPr>
      </w:r>
    </w:p>
    <w:p w:rsidR="00000000" w:rsidDel="00000000" w:rsidP="00000000" w:rsidRDefault="00000000" w:rsidRPr="00000000" w14:paraId="00000061">
      <w:pPr>
        <w:spacing w:after="100" w:before="0" w:line="276" w:lineRule="auto"/>
        <w:jc w:val="center"/>
        <w:rPr/>
      </w:pPr>
      <w:r w:rsidDel="00000000" w:rsidR="00000000" w:rsidRPr="00000000">
        <w:rPr>
          <w:rFonts w:ascii="Georgia" w:cs="Georgia" w:eastAsia="Georgia" w:hAnsi="Georgia"/>
          <w:i w:val="1"/>
          <w:iCs w:val="1"/>
          <w:sz w:val="18"/>
          <w:szCs w:val="18"/>
          <w:rtl w:val="0"/>
        </w:rPr>
        <w:t xml:space="preserve">This document is confidential and intended solely for the use of the recipient.</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spacing w:after="0" w:before="0" w:line="276" w:lineRule="auto"/>
      <w:jc w:val="center"/>
      <w:rPr/>
    </w:pPr>
    <w:r w:rsidDel="00000000" w:rsidR="00000000" w:rsidRPr="00000000">
      <w:rPr>
        <w:rFonts w:ascii="Georgia" w:cs="Georgia" w:eastAsia="Georgia" w:hAnsi="Georgia"/>
        <w:color w:val="aaaaaa"/>
        <w:sz w:val="16"/>
        <w:szCs w:val="16"/>
        <w:rtl w:val="0"/>
      </w:rPr>
      <w:t xml:space="preserve">CONFIDENTIAL — Page </w:t>
    </w:r>
    <w:r w:rsidDel="00000000" w:rsidR="00000000" w:rsidRPr="00000000">
      <w:rPr>
        <w:rFonts w:ascii="Georgia" w:cs="Georgia" w:eastAsia="Georgia" w:hAnsi="Georgia"/>
        <w:color w:val="aaaaaa"/>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spacing w:after="0" w:before="0" w:line="276" w:lineRule="auto"/>
      <w:jc w:val="right"/>
      <w:rPr/>
    </w:pPr>
    <w:r w:rsidDel="00000000" w:rsidR="00000000" w:rsidRPr="00000000">
      <w:rPr>
        <w:rFonts w:ascii="Georgia" w:cs="Georgia" w:eastAsia="Georgia" w:hAnsi="Georgia"/>
        <w:i w:val="1"/>
        <w:iCs w:val="1"/>
        <w:color w:val="aaaaaa"/>
        <w:sz w:val="16"/>
        <w:szCs w:val="16"/>
        <w:rtl w:val="0"/>
      </w:rPr>
      <w:t xml:space="preserve">Olympus-Grid — Investor Briefing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Georgia" w:cs="Georgia" w:eastAsia="Georgia" w:hAnsi="Georgia"/>
      <w:b w:val="1"/>
      <w:bCs w:val="1"/>
      <w:i w:val="0"/>
      <w:iCs w:val="0"/>
      <w:smallCaps w:val="0"/>
      <w:strike w:val="0"/>
      <w:color w:val="1a1a1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Georgia" w:cs="Georgia" w:eastAsia="Georgia" w:hAnsi="Georgia"/>
      <w:b w:val="1"/>
      <w:bCs w:val="1"/>
      <w:i w:val="0"/>
      <w:iCs w:val="0"/>
      <w:smallCaps w:val="0"/>
      <w:strike w:val="0"/>
      <w:color w:val="2a2a2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