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6914"/>
          <w:sz w:val="52"/>
        </w:rPr>
        <w:t>Pharma Glimmora</w:t>
      </w:r>
    </w:p>
    <w:p>
      <w:pPr>
        <w:jc w:val="center"/>
      </w:pPr>
      <w:r>
        <w:rPr>
          <w:color w:val="302D29"/>
          <w:sz w:val="36"/>
        </w:rPr>
        <w:t>AI Backend — Full User Manual</w:t>
      </w:r>
    </w:p>
    <w:p>
      <w:pPr>
        <w:jc w:val="center"/>
      </w:pPr>
      <w:r>
        <w:rPr>
          <w:i/>
          <w:color w:val="64748B"/>
          <w:sz w:val="22"/>
        </w:rPr>
        <w:t>End-to-end walkthrough for manual testing</w:t>
      </w:r>
    </w:p>
    <w:p>
      <w:pPr>
        <w:jc w:val="center"/>
      </w:pPr>
      <w:r>
        <w:rPr>
          <w:color w:val="64748B"/>
          <w:sz w:val="18"/>
        </w:rPr>
        <w:t>v3.0 · 2026-05-04</w:t>
      </w:r>
    </w:p>
    <w:p>
      <w:r>
        <w:br w:type="page"/>
      </w:r>
    </w:p>
    <w:p>
      <w:pPr>
        <w:pStyle w:val="Heading1"/>
      </w:pPr>
      <w:r>
        <w:rPr>
          <w:color w:val="302D29"/>
        </w:rPr>
        <w:t>1. Overview</w:t>
      </w:r>
    </w:p>
    <w:p>
      <w:r>
        <w:rPr>
          <w:b w:val="0"/>
          <w:i w:val="0"/>
          <w:sz w:val="22"/>
        </w:rPr>
        <w:t>The Pharma Glimmora AI backend is integrated into the existing compliance platform. This manual walks every AI-powered surface in the order a real QA Head would touch them — sign-in, AI CAPA creation, the 5-stage CAPA lifecycle, the AI assistant chatbot, the audit trail, and the AI Tools diagnostics page.</w:t>
      </w:r>
    </w:p>
    <w:p>
      <w:r>
        <w:rPr>
          <w:b w:val="0"/>
          <w:i w:val="0"/>
          <w:sz w:val="22"/>
        </w:rPr>
        <w:t>All AI traffic is routed through a same-origin proxy at /api/ai-proxy so the browser never sees CORS errors when the Render free-tier dyno cold-starts. There is nothing to configure — just sign in.</w:t>
      </w:r>
    </w:p>
    <w:p>
      <w:pPr>
        <w:pStyle w:val="Heading2"/>
      </w:pPr>
      <w:r>
        <w:rPr>
          <w:color w:val="302D29"/>
        </w:rPr>
        <w:t>Test credentials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Field</w:t>
            </w:r>
          </w:p>
        </w:tc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qa@pharmaglimmora.com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QaHead@123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 Head (covers most lifecycle steps)</w:t>
            </w:r>
          </w:p>
        </w:tc>
      </w:tr>
    </w:tbl>
    <w:p/>
    <w:p>
      <w:pPr>
        <w:pStyle w:val="Heading1"/>
      </w:pPr>
      <w:r>
        <w:rPr>
          <w:color w:val="302D29"/>
        </w:rPr>
        <w:t>2. Sign in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Open the app</w:t>
      </w:r>
      <w:r>
        <w:rPr>
          <w:color w:val="64748B"/>
          <w:sz w:val="20"/>
        </w:rPr>
        <w:t xml:space="preserve">  Visit http://localhost:3000 — the login page loads.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Enter the QA credentials</w:t>
      </w:r>
      <w:r>
        <w:rPr>
          <w:color w:val="64748B"/>
          <w:sz w:val="20"/>
        </w:rPr>
        <w:t xml:space="preserve">  Email qa@pharmaglimmora.com, Passcode QaHead@123, then click Sign in.</w:t>
      </w:r>
    </w:p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Wait for redirect</w:t>
      </w:r>
      <w:r>
        <w:rPr>
          <w:color w:val="64748B"/>
          <w:sz w:val="20"/>
        </w:rPr>
        <w:t xml:space="preserve">  On success you land on the Executive Dashboard. AI access token is fetched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31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Sign-in page</w:t>
      </w:r>
    </w:p>
    <w:p>
      <w:pPr>
        <w:pStyle w:val="ListBullet"/>
      </w:pPr>
      <w:r>
        <w:rPr>
          <w:color w:val="10B981"/>
          <w:sz w:val="20"/>
        </w:rPr>
        <w:t>✓  Top-right shows 'Dr. Priya Sharma · QA Head'.</w:t>
      </w:r>
    </w:p>
    <w:p>
      <w:pPr>
        <w:pStyle w:val="ListBullet"/>
      </w:pPr>
      <w:r>
        <w:rPr>
          <w:color w:val="10B981"/>
          <w:sz w:val="20"/>
        </w:rPr>
        <w:t>✓  No red errors in the browser console (F12 → Console).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5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Executive Dashboard after sign-in</w:t>
      </w:r>
    </w:p>
    <w:p>
      <w:r>
        <w:br w:type="page"/>
      </w:r>
    </w:p>
    <w:p>
      <w:pPr>
        <w:pStyle w:val="Heading1"/>
      </w:pPr>
      <w:r>
        <w:rPr>
          <w:color w:val="302D29"/>
        </w:rPr>
        <w:t>3. AI-generated CAPA</w:t>
      </w:r>
    </w:p>
    <w:p>
      <w:r>
        <w:rPr>
          <w:b w:val="0"/>
          <w:i w:val="0"/>
          <w:sz w:val="22"/>
        </w:rPr>
        <w:t>The AI CAPA flow analyses your problem statement against historical CAPAs, detects recurrence patterns, and proposes a recommendation. It also flags risk score and (when applicable) a recurrence alert that requires an electronic-signature dismissal.</w:t>
      </w:r>
    </w:p>
    <w:p>
      <w:pPr>
        <w:pStyle w:val="Heading2"/>
      </w:pPr>
      <w:r>
        <w:rPr>
          <w:color w:val="302D29"/>
        </w:rPr>
        <w:t>3.1  Open the CAPA Tracker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Navigate to /capa</w:t>
      </w:r>
      <w:r>
        <w:rPr>
          <w:color w:val="64748B"/>
          <w:sz w:val="20"/>
        </w:rPr>
        <w:t xml:space="preserve">  Sidebar → Core Compliance → CAPA Tracker.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Switch to the CAPA Tracker tab</w:t>
      </w:r>
      <w:r>
        <w:rPr>
          <w:color w:val="64748B"/>
          <w:sz w:val="20"/>
        </w:rPr>
        <w:t xml:space="preserve">  Top tab strip on the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pa-tra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CAPA Tracker tab — AI CAPA button is in the toolbar</w:t>
      </w:r>
    </w:p>
    <w:p>
      <w:pPr>
        <w:pStyle w:val="Heading2"/>
      </w:pPr>
      <w:r>
        <w:rPr>
          <w:color w:val="302D29"/>
        </w:rPr>
        <w:t>3.2  Generate an AI CAPA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Click 'AI CAPA'</w:t>
      </w:r>
      <w:r>
        <w:rPr>
          <w:color w:val="64748B"/>
          <w:sz w:val="20"/>
        </w:rPr>
        <w:t xml:space="preserve">  Opens the AI-generated CAPA dialog.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Fill the form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Field</w:t>
            </w:r>
          </w:p>
        </w:tc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Initial 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Problem 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(min 10 chars) Tablet hardness OOS — 4.2 kP vs 6–10 kP spec on TX-2026-099. Compression force log shows downward drift.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Deviation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Area affected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Manufacturing - Compression Suite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Equipment / Product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Tablet Press (Korsch XL-100)</w:t>
            </w:r>
          </w:p>
        </w:tc>
      </w:tr>
    </w:tbl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Click 'Generate CAPA'</w:t>
      </w:r>
      <w:r>
        <w:rPr>
          <w:color w:val="64748B"/>
          <w:sz w:val="20"/>
        </w:rPr>
        <w:t xml:space="preserve">  Backend takes 5–15 s. You'll see the generated CAPA-XXXX-XXX with a risk score and AI recommendation.</w:t>
      </w:r>
    </w:p>
    <w:p>
      <w:pPr>
        <w:ind w:left="227"/>
      </w:pPr>
      <w:r>
        <w:rPr>
          <w:b/>
          <w:color w:val="8B6914"/>
          <w:sz w:val="22"/>
        </w:rPr>
        <w:t xml:space="preserve">4. </w:t>
      </w:r>
      <w:r>
        <w:rPr>
          <w:b/>
          <w:sz w:val="22"/>
        </w:rPr>
        <w:t>Click 'Accept &amp; close'</w:t>
      </w:r>
      <w:r>
        <w:rPr>
          <w:color w:val="64748B"/>
          <w:sz w:val="20"/>
        </w:rPr>
        <w:t xml:space="preserve">  The CAPA appears in the tracker table and you land on its lifecycle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-capa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AI CAPA generation modal</w:t>
      </w:r>
    </w:p>
    <w:p>
      <w:pPr>
        <w:pStyle w:val="ListBullet"/>
      </w:pPr>
      <w:r>
        <w:rPr>
          <w:color w:val="10B981"/>
          <w:sz w:val="20"/>
        </w:rPr>
        <w:t>✓  CAPA ID assigned (e.g. CAPA-2026-310).</w:t>
      </w:r>
    </w:p>
    <w:p>
      <w:pPr>
        <w:pStyle w:val="ListBullet"/>
      </w:pPr>
      <w:r>
        <w:rPr>
          <w:color w:val="10B981"/>
          <w:sz w:val="20"/>
        </w:rPr>
        <w:t>✓  Risk score and AI recommendation are populated.</w:t>
      </w:r>
    </w:p>
    <w:p>
      <w:pPr>
        <w:pStyle w:val="ListBullet"/>
      </w:pPr>
      <w:r>
        <w:rPr>
          <w:color w:val="10B981"/>
          <w:sz w:val="20"/>
        </w:rPr>
        <w:t>✓  Page navigates to /ai-capa/CAPA-XXXX-XXX.</w:t>
      </w:r>
    </w:p>
    <w:p>
      <w:pPr>
        <w:pStyle w:val="ListBullet"/>
      </w:pPr>
      <w:r>
        <w:rPr>
          <w:color w:val="DC2626"/>
          <w:sz w:val="20"/>
        </w:rPr>
        <w:t>!  If you submit the same recurring problem twice you get a recurrence alert with a Dismiss-alert button — that requires a justification ≥ 5 chars and an electronic signature.</w:t>
      </w:r>
    </w:p>
    <w:p>
      <w:r>
        <w:br w:type="page"/>
      </w:r>
    </w:p>
    <w:p>
      <w:pPr>
        <w:pStyle w:val="Heading1"/>
      </w:pPr>
      <w:r>
        <w:rPr>
          <w:color w:val="302D29"/>
        </w:rPr>
        <w:t>4. CAPA lifecycle (5 stages)</w:t>
      </w:r>
    </w:p>
    <w:p>
      <w:r>
        <w:rPr>
          <w:b w:val="0"/>
          <w:i w:val="0"/>
          <w:sz w:val="22"/>
        </w:rPr>
        <w:t>Each CAPA progresses through 5 backend-tracked stages. The lifecycle page (/ai-capa/{capa_id}) gates each stage on the previous one, so you must submit them in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4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i-capa-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Lifecycle page — 5 cards, gated by stage</w:t>
      </w:r>
    </w:p>
    <w:p>
      <w:pPr>
        <w:pStyle w:val="Heading2"/>
      </w:pPr>
      <w:r>
        <w:rPr>
          <w:color w:val="302D29"/>
        </w:rPr>
        <w:t>4.1  Submit RCA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Click 'Submit RCA'</w:t>
      </w:r>
      <w:r>
        <w:rPr>
          <w:color w:val="64748B"/>
          <w:sz w:val="20"/>
        </w:rPr>
        <w:t xml:space="preserve">  Opens the RCA dialog.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Pick a method</w:t>
      </w:r>
      <w:r>
        <w:rPr>
          <w:color w:val="64748B"/>
          <w:sz w:val="20"/>
        </w:rPr>
        <w:t xml:space="preserve">  e.g. Fishbone Diagram (any value works).</w:t>
      </w:r>
    </w:p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Enter evidence</w:t>
      </w:r>
      <w:r>
        <w:rPr>
          <w:color w:val="64748B"/>
          <w:sz w:val="20"/>
        </w:rPr>
        <w:t xml:space="preserve">  Free-text root cause description. Example: 'Compression force calibration drifted out of spec due to wear on tablet press feedback sensor.'</w:t>
      </w:r>
    </w:p>
    <w:p>
      <w:pPr>
        <w:ind w:left="227"/>
      </w:pPr>
      <w:r>
        <w:rPr>
          <w:b/>
          <w:color w:val="8B6914"/>
          <w:sz w:val="22"/>
        </w:rPr>
        <w:t xml:space="preserve">4. </w:t>
      </w:r>
      <w:r>
        <w:rPr>
          <w:b/>
          <w:sz w:val="22"/>
        </w:rPr>
        <w:t>Submit</w:t>
      </w:r>
      <w:r>
        <w:rPr>
          <w:color w:val="64748B"/>
          <w:sz w:val="20"/>
        </w:rPr>
        <w:t xml:space="preserve">  Backend returns RCA-XXXX-XXX. Lifecycle status flips to 'RCA Submitted'.</w:t>
      </w:r>
    </w:p>
    <w:p>
      <w:pPr>
        <w:pStyle w:val="ListBullet"/>
      </w:pPr>
      <w:r>
        <w:rPr>
          <w:color w:val="10B981"/>
          <w:sz w:val="20"/>
        </w:rPr>
        <w:t>✓  RCA card now shows the assigned RCA ID and root cause.</w:t>
      </w:r>
    </w:p>
    <w:p>
      <w:pPr>
        <w:pStyle w:val="ListBullet"/>
      </w:pPr>
      <w:r>
        <w:rPr>
          <w:color w:val="10B981"/>
          <w:sz w:val="20"/>
        </w:rPr>
        <w:t>✓  Action Plan card unlocks.</w:t>
      </w:r>
    </w:p>
    <w:p>
      <w:pPr>
        <w:pStyle w:val="Heading2"/>
      </w:pPr>
      <w:r>
        <w:rPr>
          <w:color w:val="302D29"/>
        </w:rPr>
        <w:t>4.2  Submit Action Plan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Click 'Submit action plan'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Enter at least one action row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Field</w:t>
            </w:r>
          </w:p>
        </w:tc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Recalibrate Korsch XL-100 compression force sensor; reduce maintenance interval.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Responsible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Mr. Rajesh Kumar (Maintenance Lead)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Pick any future date, e.g. 2026-06-15</w:t>
            </w:r>
          </w:p>
        </w:tc>
      </w:tr>
    </w:tbl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Submit</w:t>
      </w:r>
      <w:r>
        <w:rPr>
          <w:color w:val="64748B"/>
          <w:sz w:val="20"/>
        </w:rPr>
        <w:t xml:space="preserve">  Returns AP-XXXX-XXX. Status flips to 'Action Plan Submitted'.</w:t>
      </w:r>
    </w:p>
    <w:p>
      <w:pPr>
        <w:pStyle w:val="Heading2"/>
      </w:pPr>
      <w:r>
        <w:rPr>
          <w:color w:val="302D29"/>
        </w:rPr>
        <w:t>4.3  Submit Monitoring Check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Click 'Submit monitoring check'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Status</w:t>
      </w:r>
      <w:r>
        <w:rPr>
          <w:color w:val="64748B"/>
          <w:sz w:val="20"/>
        </w:rPr>
        <w:t xml:space="preserve">  Pick from On Track / In Progress / Overdue / Completed (these match the backend enum exactly — 'Delayed' / 'Blocked' will fail).</w:t>
      </w:r>
    </w:p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Note</w:t>
      </w:r>
      <w:r>
        <w:rPr>
          <w:color w:val="64748B"/>
          <w:sz w:val="20"/>
        </w:rPr>
        <w:t xml:space="preserve">  Free-text progress note.</w:t>
      </w:r>
    </w:p>
    <w:p>
      <w:pPr>
        <w:ind w:left="227"/>
      </w:pPr>
      <w:r>
        <w:rPr>
          <w:b/>
          <w:color w:val="8B6914"/>
          <w:sz w:val="22"/>
        </w:rPr>
        <w:t xml:space="preserve">4. </w:t>
      </w:r>
      <w:r>
        <w:rPr>
          <w:b/>
          <w:sz w:val="22"/>
        </w:rPr>
        <w:t>Submit</w:t>
      </w:r>
      <w:r>
        <w:rPr>
          <w:color w:val="64748B"/>
          <w:sz w:val="20"/>
        </w:rPr>
        <w:t xml:space="preserve">  Returns MON-XXXX-XXX. Status flips to 'Monitoring Complete' once Completed.</w:t>
      </w:r>
    </w:p>
    <w:p>
      <w:pPr>
        <w:pStyle w:val="Heading2"/>
      </w:pPr>
      <w:r>
        <w:rPr>
          <w:color w:val="302D29"/>
        </w:rPr>
        <w:t>4.4  Run Effectiveness Check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Click 'Run effectiveness check'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Fill the form</w:t>
      </w:r>
      <w:r>
        <w:rPr>
          <w:color w:val="64748B"/>
          <w:sz w:val="20"/>
        </w:rPr>
        <w:t xml:space="preserve">  Days since CAPA = 90, New issues = No, Action description, Completed = Yes, Evidence = Attached, Note, plus a Metric block (e.g. Tablet hardness 4.2 → 7.8 kP).</w:t>
      </w:r>
    </w:p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Submit</w:t>
      </w:r>
      <w:r>
        <w:rPr>
          <w:color w:val="64748B"/>
          <w:sz w:val="20"/>
        </w:rPr>
        <w:t xml:space="preserve">  Returns EFF-XXXX-XXX.</w:t>
      </w:r>
    </w:p>
    <w:p>
      <w:pPr>
        <w:pStyle w:val="ListBullet"/>
      </w:pPr>
      <w:r>
        <w:rPr>
          <w:color w:val="10B981"/>
          <w:sz w:val="20"/>
        </w:rPr>
        <w:t>✓  Effectiveness verdict shown (Effective / Partially Effective / Not Effective).</w:t>
      </w:r>
    </w:p>
    <w:p>
      <w:pPr>
        <w:pStyle w:val="Heading2"/>
      </w:pPr>
      <w:r>
        <w:rPr>
          <w:color w:val="302D29"/>
        </w:rPr>
        <w:t>4.5  Initiate Closure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Click 'Initiate closure'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Fill the closure form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Field</w:t>
            </w:r>
          </w:p>
        </w:tc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Dr. Priya Sharma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 Head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Electronic 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QA-PSHARMA-2026-XXX (any unique string)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Related CAPAs reviewed?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 changes approved?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Closure rationale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10 chars, e.g. '90-day window passed with no recurrence; SOP-MFG-042 updated.'</w:t>
            </w:r>
          </w:p>
        </w:tc>
      </w:tr>
    </w:tbl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Submit</w:t>
      </w:r>
      <w:r>
        <w:rPr>
          <w:color w:val="64748B"/>
          <w:sz w:val="20"/>
        </w:rPr>
        <w:t xml:space="preserve">  Returns CLO-XXXX-XXX. CAPA status flips to 'Closed'.</w:t>
      </w:r>
    </w:p>
    <w:p>
      <w:pPr>
        <w:pStyle w:val="ListBullet"/>
      </w:pPr>
      <w:r>
        <w:rPr>
          <w:color w:val="10B981"/>
          <w:sz w:val="20"/>
        </w:rPr>
        <w:t>✓  All five lifecycle cards now show data.</w:t>
      </w:r>
    </w:p>
    <w:p>
      <w:r>
        <w:br w:type="page"/>
      </w:r>
    </w:p>
    <w:p>
      <w:pPr>
        <w:pStyle w:val="Heading1"/>
      </w:pPr>
      <w:r>
        <w:rPr>
          <w:color w:val="302D29"/>
        </w:rPr>
        <w:t>5. AI Assistant (chatbot)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Click the floating bubble</w:t>
      </w:r>
      <w:r>
        <w:rPr>
          <w:color w:val="64748B"/>
          <w:sz w:val="20"/>
        </w:rPr>
        <w:t xml:space="preserve">  Bottom-right of every page.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Send a text message</w:t>
      </w:r>
      <w:r>
        <w:rPr>
          <w:color w:val="64748B"/>
          <w:sz w:val="20"/>
        </w:rPr>
        <w:t xml:space="preserve">  Try 'How many CAPAs do we have?' or 'Summarise the latest open deviations.'</w:t>
      </w:r>
    </w:p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Click the speaker on the assistant reply</w:t>
      </w:r>
      <w:r>
        <w:rPr>
          <w:color w:val="64748B"/>
          <w:sz w:val="20"/>
        </w:rPr>
        <w:t xml:space="preserve">  Plays back the response via OpenAI TTS.</w:t>
      </w:r>
    </w:p>
    <w:p>
      <w:pPr>
        <w:ind w:left="227"/>
      </w:pPr>
      <w:r>
        <w:rPr>
          <w:b/>
          <w:color w:val="8B6914"/>
          <w:sz w:val="22"/>
        </w:rPr>
        <w:t xml:space="preserve">4. </w:t>
      </w:r>
      <w:r>
        <w:rPr>
          <w:b/>
          <w:sz w:val="22"/>
        </w:rPr>
        <w:t>Try voice input</w:t>
      </w:r>
      <w:r>
        <w:rPr>
          <w:color w:val="64748B"/>
          <w:sz w:val="20"/>
        </w:rPr>
        <w:t xml:space="preserve">  Hold the round mic button to record (round-trip with assistant reply played aloud), or the pencil mic for dictation into the input. Voice features need a real microphone and browser permission.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5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tbot-op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Chatbot drawer</w:t>
      </w:r>
    </w:p>
    <w:p>
      <w:pPr>
        <w:pStyle w:val="ListBullet"/>
      </w:pPr>
      <w:r>
        <w:rPr>
          <w:color w:val="10B981"/>
          <w:sz w:val="20"/>
        </w:rPr>
        <w:t>✓  Reply streams in within ~5 s.</w:t>
      </w:r>
    </w:p>
    <w:p>
      <w:pPr>
        <w:pStyle w:val="ListBullet"/>
      </w:pPr>
      <w:r>
        <w:rPr>
          <w:color w:val="10B981"/>
          <w:sz w:val="20"/>
        </w:rPr>
        <w:t>✓  Speaker icon plays audio with no console errors.</w:t>
      </w:r>
    </w:p>
    <w:p>
      <w:pPr>
        <w:pStyle w:val="ListBullet"/>
      </w:pPr>
      <w:r>
        <w:rPr>
          <w:color w:val="DC2626"/>
          <w:sz w:val="20"/>
        </w:rPr>
        <w:t>!  First voice request asks for mic permission — allow it. If denied, only text + speaker work.</w:t>
      </w:r>
    </w:p>
    <w:p>
      <w:r>
        <w:br w:type="page"/>
      </w:r>
    </w:p>
    <w:p>
      <w:pPr>
        <w:pStyle w:val="Heading1"/>
      </w:pPr>
      <w:r>
        <w:rPr>
          <w:color w:val="302D29"/>
        </w:rPr>
        <w:t>6. Audit trail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Navigate to /audit-trail</w:t>
      </w:r>
      <w:r>
        <w:rPr>
          <w:color w:val="64748B"/>
          <w:sz w:val="20"/>
        </w:rPr>
        <w:t xml:space="preserve">  Sidebar → Readiness &amp; Governance → Audit Trail.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Switch to the 'AI Backend' tab</w:t>
      </w:r>
      <w:r>
        <w:rPr>
          <w:color w:val="64748B"/>
          <w:sz w:val="20"/>
        </w:rPr>
        <w:t xml:space="preserve">  Pulls /api/v1/audit/all from the backend (every signature event since signup).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52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dit-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AI Backend audit log</w:t>
      </w:r>
    </w:p>
    <w:p>
      <w:pPr>
        <w:pStyle w:val="ListBullet"/>
      </w:pPr>
      <w:r>
        <w:rPr>
          <w:color w:val="10B981"/>
          <w:sz w:val="20"/>
        </w:rPr>
        <w:t>✓  Recent CAPA / RCA / Closure events appear with timestamps and audit IDs.</w:t>
      </w:r>
    </w:p>
    <w:p>
      <w:pPr>
        <w:pStyle w:val="Heading1"/>
      </w:pPr>
      <w:r>
        <w:rPr>
          <w:color w:val="302D29"/>
        </w:rPr>
        <w:t>7. AI Tools (diagnostic page)</w:t>
      </w:r>
    </w:p>
    <w:p>
      <w:r>
        <w:rPr>
          <w:b w:val="0"/>
          <w:i w:val="0"/>
          <w:sz w:val="22"/>
        </w:rPr>
        <w:t>Direct lookups for every AI backend endpoint by ID. Useful for spot-checking what was just submitted, or for verifying that a stage's audit record actually exists.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Navigate to /ai-tools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Ping the diagnostics</w:t>
      </w:r>
      <w:r>
        <w:rPr>
          <w:color w:val="64748B"/>
          <w:sz w:val="20"/>
        </w:rPr>
        <w:t xml:space="preserve">  AI Assistant health, AI Voice health, Users — all should return 200 with JSON.</w:t>
      </w:r>
    </w:p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Look up a stage by ID</w:t>
      </w:r>
      <w:r>
        <w:rPr>
          <w:color w:val="64748B"/>
          <w:sz w:val="20"/>
        </w:rPr>
        <w:t xml:space="preserve">  Paste an RCA / Action Plan / Monitoring / Effectiveness / Closure / Audit ID returned earlier and click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52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i-to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AI Tools page</w:t>
      </w:r>
    </w:p>
    <w:p>
      <w:pPr>
        <w:pStyle w:val="ListBullet"/>
      </w:pPr>
      <w:r>
        <w:rPr>
          <w:color w:val="10B981"/>
          <w:sz w:val="20"/>
        </w:rPr>
        <w:t>✓  All three health pings return 200.</w:t>
      </w:r>
    </w:p>
    <w:p>
      <w:pPr>
        <w:pStyle w:val="ListBullet"/>
      </w:pPr>
      <w:r>
        <w:rPr>
          <w:color w:val="10B981"/>
          <w:sz w:val="20"/>
        </w:rPr>
        <w:t>✓  ID lookups for the records you submitted return their full payload.</w:t>
      </w:r>
    </w:p>
    <w:p>
      <w:r>
        <w:br w:type="page"/>
      </w:r>
    </w:p>
    <w:p>
      <w:pPr>
        <w:pStyle w:val="Heading1"/>
      </w:pPr>
      <w:r>
        <w:rPr>
          <w:color w:val="302D29"/>
        </w:rPr>
        <w:t>8. Pass criteria</w:t>
      </w:r>
    </w:p>
    <w:p>
      <w:pPr>
        <w:pStyle w:val="ListBullet"/>
      </w:pPr>
      <w:r>
        <w:rPr>
          <w:color w:val="10B981"/>
          <w:sz w:val="20"/>
        </w:rPr>
        <w:t>✓  Sign-in works and aiAccessToken is cached (check via DevTools → Application → Local Storage → glimmora-state).</w:t>
      </w:r>
    </w:p>
    <w:p>
      <w:pPr>
        <w:pStyle w:val="ListBullet"/>
      </w:pPr>
      <w:r>
        <w:rPr>
          <w:color w:val="10B981"/>
          <w:sz w:val="20"/>
        </w:rPr>
        <w:t>✓  AI CAPA creation returns a CAPA ID with risk score and AI recommendation.</w:t>
      </w:r>
    </w:p>
    <w:p>
      <w:pPr>
        <w:pStyle w:val="ListBullet"/>
      </w:pPr>
      <w:r>
        <w:rPr>
          <w:color w:val="10B981"/>
          <w:sz w:val="20"/>
        </w:rPr>
        <w:t>✓  All 5 lifecycle stages submit cleanly and the status field advances correctly.</w:t>
      </w:r>
    </w:p>
    <w:p>
      <w:pPr>
        <w:pStyle w:val="ListBullet"/>
      </w:pPr>
      <w:r>
        <w:rPr>
          <w:color w:val="10B981"/>
          <w:sz w:val="20"/>
        </w:rPr>
        <w:t>✓  Recurrence alert (when triggered) requires reason + signature before dismissal.</w:t>
      </w:r>
    </w:p>
    <w:p>
      <w:pPr>
        <w:pStyle w:val="ListBullet"/>
      </w:pPr>
      <w:r>
        <w:rPr>
          <w:color w:val="10B981"/>
          <w:sz w:val="20"/>
        </w:rPr>
        <w:t>✓  Chatbot replies arrive within ~5 s; speaker playback works.</w:t>
      </w:r>
    </w:p>
    <w:p>
      <w:pPr>
        <w:pStyle w:val="ListBullet"/>
      </w:pPr>
      <w:r>
        <w:rPr>
          <w:color w:val="10B981"/>
          <w:sz w:val="20"/>
        </w:rPr>
        <w:t>✓  Audit trail AI tab is populated with the events you triggered.</w:t>
      </w:r>
    </w:p>
    <w:p>
      <w:pPr>
        <w:pStyle w:val="ListBullet"/>
      </w:pPr>
      <w:r>
        <w:rPr>
          <w:color w:val="10B981"/>
          <w:sz w:val="20"/>
        </w:rPr>
        <w:t>✓  AI Tools health pings + ID lookups all return 200.</w:t>
      </w:r>
    </w:p>
    <w:p>
      <w:pPr>
        <w:pStyle w:val="ListBullet"/>
      </w:pPr>
      <w:r>
        <w:rPr>
          <w:color w:val="10B981"/>
          <w:sz w:val="20"/>
        </w:rPr>
        <w:t>✓  Browser console shows 0 errors at every page (browser-native 4xx logs are fine — those are the only ones you can't suppress and they don't indicate a bug).</w:t>
      </w:r>
    </w:p>
    <w:p>
      <w:pPr>
        <w:pStyle w:val="Heading1"/>
      </w:pPr>
      <w:r>
        <w:rPr>
          <w:color w:val="302D29"/>
        </w:rPr>
        <w:t>9. Known caveats</w:t>
      </w:r>
    </w:p>
    <w:p>
      <w:pPr>
        <w:pStyle w:val="ListBullet"/>
      </w:pPr>
      <w:r>
        <w:rPr>
          <w:color w:val="DC2626"/>
          <w:sz w:val="20"/>
        </w:rPr>
        <w:t>!  Render free-tier dyno sleeps after ~15 min idle. First request after wake-up takes ~30 s — this is expected, not a bug.</w:t>
      </w:r>
    </w:p>
    <w:p>
      <w:pPr>
        <w:pStyle w:val="ListBullet"/>
      </w:pPr>
      <w:r>
        <w:rPr>
          <w:color w:val="DC2626"/>
          <w:sz w:val="20"/>
        </w:rPr>
        <w:t>!  Render's SQLite DB is not persistent across cold restarts. CAPAs you created earlier may return 404 the next day; just create fresh ones.</w:t>
      </w:r>
    </w:p>
    <w:p>
      <w:pPr>
        <w:pStyle w:val="ListBullet"/>
      </w:pPr>
      <w:r>
        <w:rPr>
          <w:color w:val="DC2626"/>
          <w:sz w:val="20"/>
        </w:rPr>
        <w:t>!  Voice round-trip needs HTTPS or localhost AND a real mic. Playwright cannot exercise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