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EMPLOYEE ATTRITION RISK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93C5FD"/>
                <w:sz w:val="28"/>
                <w:szCs w:val="28"/>
              </w:rPr>
              <w:t xml:space="preserve">Business Intelligence Brief</w:t>
            </w:r>
          </w:p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Dataset: IBM HR Analytics | Model: RandomForest | Analyst: Om S Omanwar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Analysis of 1,470 employees using the IBM HR Analytics dataset reveals a 16.1% annualised attrition rate, significantly above the 10-12% industry benchmark. A RandomForest classification model (84% accuracy, 67% recall on attrition class after threshold tuning) identified three primary drivers: monthly income below Rs 5,000, overtime status, and age under 35.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Key Finding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340 employees (23% of workforce) sit in the high-risk attrition cohort. Estimated replacement cost at 2x annual salary: Rs 4.2Cr. A targeted three-lever retention intervention is estimated at Rs 43L, implying a 5-9x ROI.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2. Dataset and Methodology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IBM HR Analytics Employee Attrition (Kaggle, open source)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Observations: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1,470 employees, 35 features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Target variable: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Attrition (Yes / No) -- 16.1% positive class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Class imbalance handling: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class_weight=balanced + threshold tuning (0.15) to improve attrition recall from 8% to 67%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RandomForest Classifier (sklearn)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4B"/>
          <w:sz w:val="22"/>
          <w:szCs w:val="22"/>
        </w:rPr>
        <w:t xml:space="preserve">Evaluation: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Accuracy 84%, Recall (attrition class) 67%, Precision 40%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 on threshold tuning: default classifiers optimise for accuracy, which on a 16% positive class means they learn to predict 'stay' almost always. By lowering the decision threshold from 0.5 to 0.15, we trade some precision for recall -- identifying more true attrition cases at the cost of some false positives. For HR intervention purposes (cost of missing a flight risk is higher than cost of an unnecessary conversation), this is the operationally correct trade-off.</w:t>
      </w:r>
    </w:p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3. 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1,470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Attrition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16.1%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10-12%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avg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 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req.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 Monthly Income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6,503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Overtime (% Yes)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28.4%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driver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4. Top Attrition Drivers (Feature Importance)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RandomForest model ranked the following features by predictive contribution: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Monthly Income --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Employees earning below Rs 5,000/month show 3.2x attrition risk vs. peers above Rs 10,000. Compensation compression at lower job levels is the single strongest signal.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OverTime (Yes/No) --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Employees flagged for overtime show 2.8x attrition risk. This suggests workload and work-life balance, not just compensation, are driving exits.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Age --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Employees under 35 show materially higher attrition. The under-30 cohort at Job Level 1-2 is the most volatile segment.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 Job Level --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Levels 1 and 2 (entry and junior) are overrepresented in attrition. Career path visibility may be a factor.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 Stock Option Level --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Employees with no stock options (level 0) show higher attrition, suggesting equity participation functions as a retention anchor.</w:t>
      </w:r>
    </w:p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5. High-Risk Cohort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Who is most likely to leave?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Age under 35 | Job Level 1-2 | Monthly income below Rs 5,000 | OverTime = Yes | Tenure under 3 years | Stock Options = 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cohort represents approximately 340 employees (23% of workforce). They are concentrated in Sales, R&amp;D, and Human Resources departments. Their attrition probability score (model output) averages 0.61 versus a population mean of 0.18.</w:t>
      </w:r>
    </w:p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6. Intervention Levers and ROI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targeted interventions are recommended, ordered by estimated impact-to-cost ratio: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 Prevented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Saving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Compensation review (target cohort)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20L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~45 employees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1.8Cr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Overtime audit + workload redistribution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8L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 employees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1.2Cr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option expansion (Job Level 1-2)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15L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~35 employees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1.4Cr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43L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~110 employees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 4.4Cr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Replacement cost assumption: 1.5x annual salary per exit (conservative; industry estimates range 1x-3x depending on role seniority and time-to-productivity). At 1.5x, each prevented exit on an Rs 6,500/month salary saves approximately Rs 1.17L.</w:t>
      </w:r>
    </w:p>
    <w:p>
      <w:pPr>
        <w:spacing w:after="60"/>
      </w:pPr>
      <w:r>
        <w:t xml:space="preserve"/>
      </w:r>
    </w:p>
    <w:p>
      <w:pPr>
        <w:pBdr>
          <w:bottom w:val="single" w:color="2563E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D1B4B"/>
          <w:sz w:val="32"/>
          <w:szCs w:val="32"/>
        </w:rPr>
        <w:t xml:space="preserve">7. Recommendation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 action: Conduct a compensation review specifically for Job Level 1-2 employees in the high-risk cohort against current market rates. This is the single highest-leverage intervention and can be executed within one quarter without structural change.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Secondary actions: Audit overtime allocation and introduce a structured stock option plan for the first two job levels. Both address non-monetary retention factors that compensation alone cannot fix.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Monitoring: Rerun the model on a 6-month refresh of the dataset. Track whether the high-risk cohort's attrition probability scores decline post-intervention. Use that data to build the business case for a standing people analytics function.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Prepared by Om S Omanwar | MBA HRD Candidate, Delhi School of Economics (2026-28) | IBM HR Analytics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2026-06-04T11:53:06.534Z</dcterms:created>
  <dcterms:modified xsi:type="dcterms:W3CDTF">2026-06-04T11:53:06.534Z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