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A80A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Tu es un expert senior en stratégie commerciale et gestion des risques,</w:t>
      </w:r>
    </w:p>
    <w:p w14:paraId="38E63F75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chargé de rédiger le document d’introduction d’un outil d’analyse</w:t>
      </w:r>
    </w:p>
    <w:p w14:paraId="741D2B57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destiné à un Comité des Risques EQUANS / ASI.</w:t>
      </w:r>
    </w:p>
    <w:p w14:paraId="1E149F85" w14:textId="77777777" w:rsidR="005C7C30" w:rsidRPr="005C7C30" w:rsidRDefault="005C7C30" w:rsidP="005C7C30">
      <w:pPr>
        <w:rPr>
          <w:lang w:val="fr-FR"/>
        </w:rPr>
      </w:pPr>
    </w:p>
    <w:p w14:paraId="18386EFC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OBJECTIF DU DOCUMENT :</w:t>
      </w:r>
    </w:p>
    <w:p w14:paraId="48067FD4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Rédiger un document d’introduction qui sert :</w:t>
      </w:r>
    </w:p>
    <w:p w14:paraId="3C62D064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de porte d’entrée à l’outil,</w:t>
      </w:r>
    </w:p>
    <w:p w14:paraId="35E16724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de cadre d’utilisation,</w:t>
      </w:r>
    </w:p>
    <w:p w14:paraId="233EAF9D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de guide pour la collecte des informations,</w:t>
      </w:r>
    </w:p>
    <w:p w14:paraId="36E3E437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de rappel des responsabilités associées à l’engagement.</w:t>
      </w:r>
    </w:p>
    <w:p w14:paraId="5FB6E513" w14:textId="77777777" w:rsidR="005C7C30" w:rsidRPr="005C7C30" w:rsidRDefault="005C7C30" w:rsidP="005C7C30">
      <w:pPr>
        <w:rPr>
          <w:lang w:val="fr-FR"/>
        </w:rPr>
      </w:pPr>
    </w:p>
    <w:p w14:paraId="067EF49B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Ce document doit permettre à l’utilisateur de comprendre :</w:t>
      </w:r>
    </w:p>
    <w:p w14:paraId="4F7A8499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pourquoi l’outil existe,</w:t>
      </w:r>
    </w:p>
    <w:p w14:paraId="2A3DB474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quand l’utiliser,</w:t>
      </w:r>
    </w:p>
    <w:p w14:paraId="1C409BF0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comment l’utiliser,</w:t>
      </w:r>
    </w:p>
    <w:p w14:paraId="75AAF8D6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ce qu’il produit,</w:t>
      </w:r>
    </w:p>
    <w:p w14:paraId="3B1921DA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ce qu’il ne fait PAS.</w:t>
      </w:r>
    </w:p>
    <w:p w14:paraId="4E3488A1" w14:textId="77777777" w:rsidR="005C7C30" w:rsidRPr="005C7C30" w:rsidRDefault="005C7C30" w:rsidP="005C7C30">
      <w:pPr>
        <w:rPr>
          <w:lang w:val="fr-FR"/>
        </w:rPr>
      </w:pPr>
    </w:p>
    <w:p w14:paraId="506A598F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POSTURE ATTENDUE :</w:t>
      </w:r>
    </w:p>
    <w:p w14:paraId="1AFAB152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claire</w:t>
      </w:r>
    </w:p>
    <w:p w14:paraId="1E715F9F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structurée</w:t>
      </w:r>
    </w:p>
    <w:p w14:paraId="7E6E1F83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pédagogique</w:t>
      </w:r>
    </w:p>
    <w:p w14:paraId="61BBF31A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responsable</w:t>
      </w:r>
    </w:p>
    <w:p w14:paraId="026A18DF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orientée décision éclairée</w:t>
      </w:r>
    </w:p>
    <w:p w14:paraId="3B48D01F" w14:textId="77777777" w:rsidR="005C7C30" w:rsidRPr="005C7C30" w:rsidRDefault="005C7C30" w:rsidP="005C7C30">
      <w:pPr>
        <w:rPr>
          <w:lang w:val="fr-FR"/>
        </w:rPr>
      </w:pPr>
    </w:p>
    <w:p w14:paraId="7364F613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CONTENU ATTENDU :</w:t>
      </w:r>
    </w:p>
    <w:p w14:paraId="03412C52" w14:textId="77777777" w:rsidR="005C7C30" w:rsidRPr="005C7C30" w:rsidRDefault="005C7C30" w:rsidP="005C7C30">
      <w:pPr>
        <w:rPr>
          <w:lang w:val="fr-FR"/>
        </w:rPr>
      </w:pPr>
    </w:p>
    <w:p w14:paraId="764DEB2D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1. POURQUOI CET OUTIL</w:t>
      </w:r>
    </w:p>
    <w:p w14:paraId="26440FB1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Expliquer :</w:t>
      </w:r>
    </w:p>
    <w:p w14:paraId="1C1ACAE6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pourquoi une lecture structurée est indispensable avant engagement,</w:t>
      </w:r>
    </w:p>
    <w:p w14:paraId="4AE6ABFA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les limites d’une lecture intuitive ou fragmentée,</w:t>
      </w:r>
    </w:p>
    <w:p w14:paraId="0E60682B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la différence entre “lire un projet” et “comprendre ce que l’on accepte”.</w:t>
      </w:r>
    </w:p>
    <w:p w14:paraId="23890500" w14:textId="77777777" w:rsidR="005C7C30" w:rsidRPr="005C7C30" w:rsidRDefault="005C7C30" w:rsidP="005C7C30">
      <w:pPr>
        <w:rPr>
          <w:lang w:val="fr-FR"/>
        </w:rPr>
      </w:pPr>
    </w:p>
    <w:p w14:paraId="5A91A07F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2. À QUOI SERT CET OUTIL</w:t>
      </w:r>
    </w:p>
    <w:p w14:paraId="1FC71DA0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Préciser clairement :</w:t>
      </w:r>
    </w:p>
    <w:p w14:paraId="34C855C6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ce que l’outil produit (analyses, mises en visibilité, éclairages),</w:t>
      </w:r>
    </w:p>
    <w:p w14:paraId="048F4DD2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ce qu’il ne produit pas.</w:t>
      </w:r>
    </w:p>
    <w:p w14:paraId="08A9304F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Insister explicitement sur le fait que :</w:t>
      </w:r>
    </w:p>
    <w:p w14:paraId="5DAEF0F5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l’outil n’est pas un décideur,</w:t>
      </w:r>
    </w:p>
    <w:p w14:paraId="1B5ED1EE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il éclaire la décision sans la prendre.</w:t>
      </w:r>
    </w:p>
    <w:p w14:paraId="1FA852A8" w14:textId="77777777" w:rsidR="005C7C30" w:rsidRPr="005C7C30" w:rsidRDefault="005C7C30" w:rsidP="005C7C30">
      <w:pPr>
        <w:rPr>
          <w:lang w:val="fr-FR"/>
        </w:rPr>
      </w:pPr>
    </w:p>
    <w:p w14:paraId="1777BD8B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3. QUAND UTILISER CET OUTIL</w:t>
      </w:r>
    </w:p>
    <w:p w14:paraId="67AF2E0C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Expliquer :</w:t>
      </w:r>
    </w:p>
    <w:p w14:paraId="4686772C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à quels moments du cycle projet l’outil est utilisé</w:t>
      </w:r>
    </w:p>
    <w:p w14:paraId="2F96B3A5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  (qualification, préparation comité, engagement),</w:t>
      </w:r>
    </w:p>
    <w:p w14:paraId="4376808E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pour quels types de projets,</w:t>
      </w:r>
    </w:p>
    <w:p w14:paraId="342EA998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dans quels contextes de risque.</w:t>
      </w:r>
    </w:p>
    <w:p w14:paraId="7D2CF62B" w14:textId="77777777" w:rsidR="005C7C30" w:rsidRPr="005C7C30" w:rsidRDefault="005C7C30" w:rsidP="005C7C30">
      <w:pPr>
        <w:rPr>
          <w:lang w:val="fr-FR"/>
        </w:rPr>
      </w:pPr>
    </w:p>
    <w:p w14:paraId="40ECDA8A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lastRenderedPageBreak/>
        <w:t>4. DOCUMENTS ET INFORMATIONS À FOURNIR</w:t>
      </w:r>
    </w:p>
    <w:p w14:paraId="5988B0FB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Lister clairement :</w:t>
      </w:r>
    </w:p>
    <w:p w14:paraId="6BFA66A5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documents contractuels,</w:t>
      </w:r>
    </w:p>
    <w:p w14:paraId="0040C381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éléments techniques,</w:t>
      </w:r>
    </w:p>
    <w:p w14:paraId="4F98CD35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informations commerciales,</w:t>
      </w:r>
    </w:p>
    <w:p w14:paraId="34053D94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hypothèses internes,</w:t>
      </w:r>
    </w:p>
    <w:p w14:paraId="48181807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tout élément utile sans restriction.</w:t>
      </w:r>
    </w:p>
    <w:p w14:paraId="5F5EA666" w14:textId="77777777" w:rsidR="005C7C30" w:rsidRPr="005C7C30" w:rsidRDefault="005C7C30" w:rsidP="005C7C30">
      <w:pPr>
        <w:rPr>
          <w:lang w:val="fr-FR"/>
        </w:rPr>
      </w:pPr>
    </w:p>
    <w:p w14:paraId="4D22796F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Préciser que :</w:t>
      </w:r>
    </w:p>
    <w:p w14:paraId="3E99841F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la qualité de l’analyse dépend directement de la qualité des informations fournies.</w:t>
      </w:r>
    </w:p>
    <w:p w14:paraId="226E6936" w14:textId="77777777" w:rsidR="005C7C30" w:rsidRPr="005C7C30" w:rsidRDefault="005C7C30" w:rsidP="005C7C30">
      <w:pPr>
        <w:rPr>
          <w:lang w:val="fr-FR"/>
        </w:rPr>
      </w:pPr>
    </w:p>
    <w:p w14:paraId="00C70F31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5. LOGIQUE GLOBALE DE FONCTIONNEMENT</w:t>
      </w:r>
    </w:p>
    <w:p w14:paraId="6F9E84B8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Expliquer simplement la chaîne d’analyse :</w:t>
      </w:r>
    </w:p>
    <w:p w14:paraId="2F567058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1. base factuelle</w:t>
      </w:r>
    </w:p>
    <w:p w14:paraId="2220BBC2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2. analyse des risques</w:t>
      </w:r>
    </w:p>
    <w:p w14:paraId="5CCFC882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3. systèmes de risques</w:t>
      </w:r>
    </w:p>
    <w:p w14:paraId="2A4C048F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4. lecture décisionnelle</w:t>
      </w:r>
    </w:p>
    <w:p w14:paraId="4157B9EA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5. acteurs et influences</w:t>
      </w:r>
    </w:p>
    <w:p w14:paraId="5D842949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6. mise en visibilité comité</w:t>
      </w:r>
    </w:p>
    <w:p w14:paraId="3230C936" w14:textId="77777777" w:rsidR="005C7C30" w:rsidRPr="005C7C30" w:rsidRDefault="005C7C30" w:rsidP="005C7C30">
      <w:pPr>
        <w:rPr>
          <w:lang w:val="fr-FR"/>
        </w:rPr>
      </w:pPr>
    </w:p>
    <w:p w14:paraId="14A3E17B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6. RÔLE DE L’UTILISATEUR</w:t>
      </w:r>
    </w:p>
    <w:p w14:paraId="6E0DDC62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Rappeler que l’utilisateur doit :</w:t>
      </w:r>
    </w:p>
    <w:p w14:paraId="24CC9E5A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compléter et challenger les informations,</w:t>
      </w:r>
    </w:p>
    <w:p w14:paraId="58E3BB2F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assumer les hypothèses prises,</w:t>
      </w:r>
    </w:p>
    <w:p w14:paraId="3390E7C5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porter la responsabilité de l’engagement.</w:t>
      </w:r>
    </w:p>
    <w:p w14:paraId="59184768" w14:textId="77777777" w:rsidR="005C7C30" w:rsidRPr="005C7C30" w:rsidRDefault="005C7C30" w:rsidP="005C7C30">
      <w:pPr>
        <w:rPr>
          <w:lang w:val="fr-FR"/>
        </w:rPr>
      </w:pPr>
    </w:p>
    <w:p w14:paraId="13784EA1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7. LIVRABLE FINAL</w:t>
      </w:r>
    </w:p>
    <w:p w14:paraId="096D34E8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Préciser que l’outil produit :</w:t>
      </w:r>
    </w:p>
    <w:p w14:paraId="3D936785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un support structuré exploitable en Comité des Risques,</w:t>
      </w:r>
    </w:p>
    <w:p w14:paraId="5AF73ED8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permettant de rendre explicite ce qui est accepté.</w:t>
      </w:r>
    </w:p>
    <w:p w14:paraId="5A32C307" w14:textId="77777777" w:rsidR="005C7C30" w:rsidRPr="005C7C30" w:rsidRDefault="005C7C30" w:rsidP="005C7C30">
      <w:pPr>
        <w:rPr>
          <w:lang w:val="fr-FR"/>
        </w:rPr>
      </w:pPr>
    </w:p>
    <w:p w14:paraId="6870C639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8. MESSAGE CLÉ DE CONCLUSION</w:t>
      </w:r>
    </w:p>
    <w:p w14:paraId="49715B03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Terminer impérativement par une phrase forte :</w:t>
      </w:r>
    </w:p>
    <w:p w14:paraId="1CBD67EB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« L’outil ne décide pas.</w:t>
      </w:r>
    </w:p>
    <w:p w14:paraId="29487671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Il rend explicite ce qui est implicitement accepté. »</w:t>
      </w:r>
    </w:p>
    <w:p w14:paraId="5BF49F3F" w14:textId="77777777" w:rsidR="005C7C30" w:rsidRPr="005C7C30" w:rsidRDefault="005C7C30" w:rsidP="005C7C30">
      <w:pPr>
        <w:rPr>
          <w:lang w:val="fr-FR"/>
        </w:rPr>
      </w:pPr>
    </w:p>
    <w:p w14:paraId="528E17B1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CONTRAINTES :</w:t>
      </w:r>
    </w:p>
    <w:p w14:paraId="302FB90B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langage simple</w:t>
      </w:r>
    </w:p>
    <w:p w14:paraId="31DAA95F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pas de jargon inutile</w:t>
      </w:r>
    </w:p>
    <w:p w14:paraId="2CA07B34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lecture rapide (3 à 5 minutes)</w:t>
      </w:r>
    </w:p>
    <w:p w14:paraId="23A33DA1" w14:textId="77777777" w:rsidR="005C7C30" w:rsidRPr="005C7C30" w:rsidRDefault="005C7C30" w:rsidP="005C7C30">
      <w:pPr>
        <w:rPr>
          <w:lang w:val="fr-FR"/>
        </w:rPr>
      </w:pPr>
      <w:r w:rsidRPr="005C7C30">
        <w:rPr>
          <w:lang w:val="fr-FR"/>
        </w:rPr>
        <w:t>- utilisable comme page d’accueil ou préambule du rapport comité</w:t>
      </w:r>
    </w:p>
    <w:p w14:paraId="37E769B0" w14:textId="77777777" w:rsidR="00B53382" w:rsidRPr="005C7C30" w:rsidRDefault="00B53382" w:rsidP="005C7C30">
      <w:pPr>
        <w:rPr>
          <w:lang w:val="fr-FR"/>
        </w:rPr>
      </w:pPr>
    </w:p>
    <w:sectPr w:rsidR="00B53382" w:rsidRPr="005C7C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CF5A6994-C63E-45BA-917D-B0857520E0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91894D-0936-44D0-9A1A-D7C7994F30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382"/>
    <w:rsid w:val="005A7C0F"/>
    <w:rsid w:val="005C7C30"/>
    <w:rsid w:val="00B53382"/>
    <w:rsid w:val="00C71B33"/>
    <w:rsid w:val="00CF51C9"/>
    <w:rsid w:val="00E1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E7690D"/>
  <w15:docId w15:val="{217AE5E9-0A3D-4D42-AEEE-979C0477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MARCELLI Olivier (EQUANS FR)</cp:lastModifiedBy>
  <cp:revision>4</cp:revision>
  <dcterms:created xsi:type="dcterms:W3CDTF">2026-05-29T13:28:00Z</dcterms:created>
  <dcterms:modified xsi:type="dcterms:W3CDTF">2026-06-01T05:14:00Z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4a238cc-6af3-4341-9d32-201b7e04331f_Enabled">
    <vt:lpwstr>true</vt:lpwstr>
  </property>
  <property fmtid="{D5CDD505-2E9C-101B-9397-08002B2CF9AE}" pid="3" name="MSIP_Label_64a238cc-6af3-4341-9d32-201b7e04331f_SetDate">
    <vt:lpwstr>2026-05-29T13:29:09Z</vt:lpwstr>
  </property>
  <property fmtid="{D5CDD505-2E9C-101B-9397-08002B2CF9AE}" pid="4" name="MSIP_Label_64a238cc-6af3-4341-9d32-201b7e04331f_Method">
    <vt:lpwstr>Standard</vt:lpwstr>
  </property>
  <property fmtid="{D5CDD505-2E9C-101B-9397-08002B2CF9AE}" pid="5" name="MSIP_Label_64a238cc-6af3-4341-9d32-201b7e04331f_Name">
    <vt:lpwstr>Internal</vt:lpwstr>
  </property>
  <property fmtid="{D5CDD505-2E9C-101B-9397-08002B2CF9AE}" pid="6" name="MSIP_Label_64a238cc-6af3-4341-9d32-201b7e04331f_SiteId">
    <vt:lpwstr>09ebfde1-6505-4c31-942f-18875ff0189d</vt:lpwstr>
  </property>
  <property fmtid="{D5CDD505-2E9C-101B-9397-08002B2CF9AE}" pid="7" name="MSIP_Label_64a238cc-6af3-4341-9d32-201b7e04331f_ActionId">
    <vt:lpwstr>82518d5d-dee1-47dd-b5d8-2f9c8fc78abc</vt:lpwstr>
  </property>
  <property fmtid="{D5CDD505-2E9C-101B-9397-08002B2CF9AE}" pid="8" name="MSIP_Label_64a238cc-6af3-4341-9d32-201b7e04331f_ContentBits">
    <vt:lpwstr>0</vt:lpwstr>
  </property>
  <property fmtid="{D5CDD505-2E9C-101B-9397-08002B2CF9AE}" pid="9" name="MSIP_Label_64a238cc-6af3-4341-9d32-201b7e04331f_Tag">
    <vt:lpwstr>10, 3, 0, 1</vt:lpwstr>
  </property>
</Properties>
</file>