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13. Задание для самостоятельного выполнения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 из задания для самостоятельного выполнения</w:t>
      </w:r>
    </w:p>
    <w:bookmarkEnd w:id="21"/>
    <w:bookmarkStart w:id="26" w:name="схема-модел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Схема модели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</w:t>
      </w:r>
      <w:r>
        <w:t xml:space="preserve"> </w:t>
      </w:r>
      <w:r>
        <w:t xml:space="preserve">передается на прибор (центральный процессор, ЦП) для обработки. После этого</w:t>
      </w:r>
      <w:r>
        <w:t xml:space="preserve"> </w:t>
      </w:r>
      <w:r>
        <w:t xml:space="preserve">заявка может равновероятно обратиться к оперативной памяти или к одному из двух</w:t>
      </w:r>
      <w:r>
        <w:t xml:space="preserve"> </w:t>
      </w:r>
      <w:r>
        <w:t xml:space="preserve">внешних запоминающих устройств (B1 и B2). Прежде чем записать информацию на</w:t>
      </w:r>
      <w:r>
        <w:t xml:space="preserve"> </w:t>
      </w:r>
      <w:r>
        <w:t xml:space="preserve">внешний накопитель, необходимо вторично обратиться к центральному процессору,</w:t>
      </w:r>
      <w:r>
        <w:t xml:space="preserve"> </w:t>
      </w:r>
      <w:r>
        <w:t xml:space="preserve">определяющему состояние накопителя и выдающему необходимую управляющую</w:t>
      </w:r>
      <w:r>
        <w:t xml:space="preserve"> </w:t>
      </w:r>
      <w:r>
        <w:t xml:space="preserve">информацию. Накопители (B1 и B2) могут работать в 3-х режимах:</w:t>
      </w:r>
    </w:p>
    <w:p>
      <w:pPr>
        <w:numPr>
          <w:ilvl w:val="0"/>
          <w:numId w:val="1002"/>
        </w:numPr>
      </w:pPr>
      <w:r>
        <w:t xml:space="preserve">B1 — занят, B2 — свободен;</w:t>
      </w:r>
    </w:p>
    <w:p>
      <w:pPr>
        <w:numPr>
          <w:ilvl w:val="0"/>
          <w:numId w:val="1002"/>
        </w:numPr>
      </w:pPr>
      <w:r>
        <w:t xml:space="preserve">B2 — свободен, B1 — занят;</w:t>
      </w:r>
    </w:p>
    <w:p>
      <w:pPr>
        <w:numPr>
          <w:ilvl w:val="0"/>
          <w:numId w:val="1002"/>
        </w:numPr>
      </w:pPr>
      <w:r>
        <w:t xml:space="preserve">B1 — занят, B2 — занят.</w:t>
      </w:r>
    </w:p>
    <w:p>
      <w:pPr>
        <w:pStyle w:val="FirstParagraph"/>
      </w:pPr>
      <w:r>
        <w:t xml:space="preserve">Схема модели представлена ниже (рис. 1):</w:t>
      </w:r>
    </w:p>
    <w:bookmarkStart w:id="25" w:name="fig:001"/>
    <w:p>
      <w:pPr>
        <w:pStyle w:val="CaptionedFigure"/>
      </w:pPr>
      <w:r>
        <w:drawing>
          <wp:inline>
            <wp:extent cx="3733800" cy="1677504"/>
            <wp:effectExtent b="0" l="0" r="0" t="0"/>
            <wp:docPr descr="Рис. 1: Схема модели для выполнения домашнего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модели для выполнения домашнего задания</w:t>
      </w:r>
    </w:p>
    <w:bookmarkEnd w:id="25"/>
    <w:p>
      <w:pPr>
        <w:pStyle w:val="BodyText"/>
      </w:pPr>
      <w:r>
        <w:t xml:space="preserve">На схеме:</w:t>
      </w:r>
    </w:p>
    <w:p>
      <w:pPr>
        <w:numPr>
          <w:ilvl w:val="0"/>
          <w:numId w:val="1003"/>
        </w:numPr>
      </w:pPr>
      <w:r>
        <w:t xml:space="preserve">src — источник заявок;</w:t>
      </w:r>
    </w:p>
    <w:p>
      <w:pPr>
        <w:numPr>
          <w:ilvl w:val="0"/>
          <w:numId w:val="1003"/>
        </w:numPr>
      </w:pPr>
      <w:r>
        <w:t xml:space="preserve">B1 и B2 — накопители для хранения заявок;</w:t>
      </w:r>
    </w:p>
    <w:p>
      <w:pPr>
        <w:numPr>
          <w:ilvl w:val="0"/>
          <w:numId w:val="1003"/>
        </w:numPr>
      </w:pPr>
      <w:r>
        <w:t xml:space="preserve">RAM — оперативная память;</w:t>
      </w:r>
    </w:p>
    <w:p>
      <w:pPr>
        <w:numPr>
          <w:ilvl w:val="0"/>
          <w:numId w:val="1003"/>
        </w:numPr>
      </w:pPr>
      <w:r>
        <w:t xml:space="preserve">CPU — центральный процессор;</w:t>
      </w:r>
    </w:p>
    <w:p>
      <w:pPr>
        <w:numPr>
          <w:ilvl w:val="0"/>
          <w:numId w:val="1003"/>
        </w:numPr>
      </w:pPr>
      <w:r>
        <w:t xml:space="preserve">B1, B1 — внешние запоминающие устройства.</w:t>
      </w:r>
    </w:p>
    <w:bookmarkEnd w:id="26"/>
    <w:bookmarkStart w:id="31" w:name="описание-модел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Множество позиций:</w:t>
      </w:r>
      <w:r>
        <w:t xml:space="preserve"> </w:t>
      </w:r>
      <w:r>
        <w:t xml:space="preserve">P1 — состояние оперативной памяти (свободна / занята);</w:t>
      </w:r>
    </w:p>
    <w:p>
      <w:pPr>
        <w:pStyle w:val="BodyText"/>
      </w:pPr>
      <w:r>
        <w:t xml:space="preserve">P2 — состояние внешнего запоминающего устройства B1 (свободно / занято);</w:t>
      </w:r>
    </w:p>
    <w:p>
      <w:pPr>
        <w:pStyle w:val="BodyText"/>
      </w:pPr>
      <w:r>
        <w:t xml:space="preserve">P3 — состояние внешнего запоминающего устройства B2 (свободно / занято);</w:t>
      </w:r>
    </w:p>
    <w:p>
      <w:pPr>
        <w:pStyle w:val="BodyText"/>
      </w:pPr>
      <w:r>
        <w:t xml:space="preserve">P4 — работа на ОП и B1 закончена;</w:t>
      </w:r>
    </w:p>
    <w:p>
      <w:pPr>
        <w:pStyle w:val="BodyText"/>
      </w:pPr>
      <w:r>
        <w:t xml:space="preserve">P5 — работа на ОП и B2 закончена;</w:t>
      </w:r>
    </w:p>
    <w:p>
      <w:pPr>
        <w:pStyle w:val="BodyText"/>
      </w:pPr>
      <w:r>
        <w:t xml:space="preserve">P6 — работа на ОП, B1 и B2 закончена;</w:t>
      </w:r>
    </w:p>
    <w:p>
      <w:pPr>
        <w:pStyle w:val="BodyText"/>
      </w:pPr>
      <w:r>
        <w:t xml:space="preserve">Множество переходов:</w:t>
      </w:r>
    </w:p>
    <w:p>
      <w:pPr>
        <w:pStyle w:val="BodyText"/>
      </w:pPr>
      <w:r>
        <w:t xml:space="preserve">T1 — ЦП работает только с RAM и B1;</w:t>
      </w:r>
    </w:p>
    <w:p>
      <w:pPr>
        <w:pStyle w:val="BodyText"/>
      </w:pPr>
      <w:r>
        <w:t xml:space="preserve">T2 — обрабатываются данные из RAM и с B1 переходят на устройство вывода;</w:t>
      </w:r>
    </w:p>
    <w:p>
      <w:pPr>
        <w:pStyle w:val="BodyText"/>
      </w:pPr>
      <w:r>
        <w:t xml:space="preserve">T3 — CPU работает только с RAM и B2;</w:t>
      </w:r>
    </w:p>
    <w:p>
      <w:pPr>
        <w:pStyle w:val="BodyText"/>
      </w:pPr>
      <w:r>
        <w:t xml:space="preserve">T4 — обрабатываются данные из RAM и с B2 переходят на устройство вывода;</w:t>
      </w:r>
    </w:p>
    <w:p>
      <w:pPr>
        <w:pStyle w:val="BodyText"/>
      </w:pPr>
      <w:r>
        <w:t xml:space="preserve">T5 — CPU работает только с RAM и с B1, B2;</w:t>
      </w:r>
    </w:p>
    <w:p>
      <w:pPr>
        <w:pStyle w:val="BodyText"/>
      </w:pPr>
      <w:r>
        <w:t xml:space="preserve">T6 — обрабатываются данные из RAM, B1, B2 и переходят на устройство вывода.</w:t>
      </w:r>
    </w:p>
    <w:p>
      <w:pPr>
        <w:pStyle w:val="BodyText"/>
      </w:pPr>
      <w:r>
        <w:t xml:space="preserve">Функционирование сети Петри можно расматривать как срабатывание переходов,</w:t>
      </w:r>
      <w:r>
        <w:t xml:space="preserve"> </w:t>
      </w:r>
      <w:r>
        <w:t xml:space="preserve">в ходе которого происходит перемещение маркеров по позициям:</w:t>
      </w:r>
    </w:p>
    <w:p>
      <w:pPr>
        <w:numPr>
          <w:ilvl w:val="0"/>
          <w:numId w:val="1004"/>
        </w:numPr>
      </w:pPr>
      <w:r>
        <w:t xml:space="preserve">работа CPU с RAM и B1 отображается запуском перехода T1 (удаление маркеров</w:t>
      </w:r>
      <w:r>
        <w:t xml:space="preserve"> </w:t>
      </w:r>
      <w:r>
        <w:t xml:space="preserve">из P1, P2 и появление в P1, P4), что влечет за собой срабатывание перехода T2,</w:t>
      </w:r>
      <w:r>
        <w:t xml:space="preserve"> </w:t>
      </w:r>
      <w:r>
        <w:t xml:space="preserve">т.е. передачу данных с RAM и B1 на устройство вывода;</w:t>
      </w:r>
    </w:p>
    <w:p>
      <w:pPr>
        <w:numPr>
          <w:ilvl w:val="0"/>
          <w:numId w:val="1004"/>
        </w:numPr>
      </w:pPr>
      <w:r>
        <w:t xml:space="preserve">работа CPU с RAM и B2 отображается запуском перехода T3 (удаление маркеров</w:t>
      </w:r>
      <w:r>
        <w:t xml:space="preserve"> </w:t>
      </w:r>
      <w:r>
        <w:t xml:space="preserve">из P1 и P3 и появление в P1 и P5), что влечет за собой срабатывание перехода T4,</w:t>
      </w:r>
      <w:r>
        <w:t xml:space="preserve"> </w:t>
      </w:r>
      <w:r>
        <w:t xml:space="preserve">т.е. передачу данных с RAM и B2 на устройство вывода;</w:t>
      </w:r>
    </w:p>
    <w:p>
      <w:pPr>
        <w:numPr>
          <w:ilvl w:val="0"/>
          <w:numId w:val="1004"/>
        </w:numPr>
      </w:pPr>
      <w:r>
        <w:t xml:space="preserve">работа CPU с RAM, B1 и B2 отображается запуском перехода T5 (удаление</w:t>
      </w:r>
      <w:r>
        <w:t xml:space="preserve"> </w:t>
      </w:r>
      <w:r>
        <w:t xml:space="preserve">маркеров из P4 и P5 и появление в P6), далее срабатывание перехода T6, и данные</w:t>
      </w:r>
      <w:r>
        <w:t xml:space="preserve"> </w:t>
      </w:r>
      <w:r>
        <w:t xml:space="preserve">из RAM, B1 и B2 передаются на устройство вывода;</w:t>
      </w:r>
    </w:p>
    <w:p>
      <w:pPr>
        <w:numPr>
          <w:ilvl w:val="0"/>
          <w:numId w:val="1004"/>
        </w:numPr>
      </w:pPr>
      <w:r>
        <w:t xml:space="preserve">состояние устройств восстанавливается при срабатывании: RAM — переходов</w:t>
      </w:r>
      <w:r>
        <w:t xml:space="preserve"> </w:t>
      </w:r>
      <w:r>
        <w:t xml:space="preserve">T1 или T2; B1 — переходов T2 или T6; B2 — переходов T4 или T6.</w:t>
      </w:r>
    </w:p>
    <w:p>
      <w:pPr>
        <w:pStyle w:val="FirstParagraph"/>
      </w:pPr>
      <w:r>
        <w:t xml:space="preserve">Сеть Петри моделируемой системы представлена ниже (рис. 2):</w:t>
      </w:r>
    </w:p>
    <w:bookmarkStart w:id="30" w:name="fig:002"/>
    <w:p>
      <w:pPr>
        <w:pStyle w:val="CaptionedFigure"/>
      </w:pPr>
      <w:r>
        <w:drawing>
          <wp:inline>
            <wp:extent cx="3733800" cy="2611966"/>
            <wp:effectExtent b="0" l="0" r="0" t="0"/>
            <wp:docPr descr="Рис. 2: Сеть для выполнения домашнего зад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Сеть для выполнения домашнего задания</w:t>
      </w:r>
    </w:p>
    <w:bookmarkEnd w:id="30"/>
    <w:bookmarkEnd w:id="31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6" w:name="анализ-сети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Анализ сети</w:t>
      </w:r>
    </w:p>
    <w:p>
      <w:pPr>
        <w:pStyle w:val="FirstParagraph"/>
      </w:pPr>
      <w:r>
        <w:t xml:space="preserve">Используя теоретические методы анализа сетей Петри, проведем анализ сети,</w:t>
      </w:r>
      <w:r>
        <w:t xml:space="preserve"> </w:t>
      </w:r>
      <w:r>
        <w:t xml:space="preserve">изображённой на рис. 2 (с помощью построения дерева достижимости). Определим, является ли сеть безопасной, ограниченной, сохраняющей, имеются ли</w:t>
      </w:r>
      <w:r>
        <w:t xml:space="preserve"> </w:t>
      </w:r>
      <w:r>
        <w:t xml:space="preserve">тупики (рис. 3):</w:t>
      </w:r>
    </w:p>
    <w:bookmarkStart w:id="35" w:name="fig:003"/>
    <w:p>
      <w:pPr>
        <w:pStyle w:val="CaptionedFigure"/>
      </w:pPr>
      <w:r>
        <w:drawing>
          <wp:inline>
            <wp:extent cx="4267200" cy="2374987"/>
            <wp:effectExtent b="0" l="0" r="0" t="0"/>
            <wp:docPr descr="Рис. 3: Дерево достижимости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7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Дерево достижимости</w:t>
      </w:r>
    </w:p>
    <w:bookmarkEnd w:id="35"/>
    <w:p>
      <w:pPr>
        <w:pStyle w:val="BodyText"/>
      </w:pPr>
      <w:r>
        <w:t xml:space="preserve">Исходя из проведенного анализа,можно выделить следующее:</w:t>
      </w:r>
    </w:p>
    <w:p>
      <w:pPr>
        <w:numPr>
          <w:ilvl w:val="0"/>
          <w:numId w:val="1005"/>
        </w:numPr>
      </w:pPr>
      <w:r>
        <w:t xml:space="preserve">Безопасность сети</w:t>
      </w:r>
      <w:r>
        <w:t xml:space="preserve"> </w:t>
      </w:r>
      <w:r>
        <w:t xml:space="preserve">В каждом узле сети может находиться либо 0, либо 1 фишка, что означает, что сеть является безопасной.</w:t>
      </w:r>
    </w:p>
    <w:p>
      <w:pPr>
        <w:numPr>
          <w:ilvl w:val="0"/>
          <w:numId w:val="1005"/>
        </w:numPr>
      </w:pPr>
      <w:r>
        <w:t xml:space="preserve">Ограниченность сети</w:t>
      </w:r>
      <w:r>
        <w:t xml:space="preserve"> </w:t>
      </w:r>
      <w:r>
        <w:t xml:space="preserve">Сеть является 1-ограниченной, так как максимальное количество фишек в любой позиции не превышает 1 (k = 1).</w:t>
      </w:r>
    </w:p>
    <w:p>
      <w:pPr>
        <w:numPr>
          <w:ilvl w:val="0"/>
          <w:numId w:val="1005"/>
        </w:numPr>
      </w:pPr>
      <w:r>
        <w:t xml:space="preserve">Сохранение количества фишек</w:t>
      </w:r>
      <w:r>
        <w:t xml:space="preserve"> </w:t>
      </w:r>
      <w:r>
        <w:t xml:space="preserve">Общее число фишек в сети изменяется в процессе работы, следовательно, сеть не является строго сохраняющей (не сохраняет количество фишек относительно вектора взвешивания).</w:t>
      </w:r>
    </w:p>
    <w:p>
      <w:pPr>
        <w:numPr>
          <w:ilvl w:val="0"/>
          <w:numId w:val="1005"/>
        </w:numPr>
      </w:pPr>
      <w:r>
        <w:t xml:space="preserve">Отсутствие тупиков</w:t>
      </w:r>
      <w:r>
        <w:t xml:space="preserve"> </w:t>
      </w:r>
      <w:r>
        <w:t xml:space="preserve">Все переходы в сети могут быть активированы при подходящей маркировке, поэтому в данной сети нет тупиковых состояний.</w:t>
      </w:r>
    </w:p>
    <w:bookmarkEnd w:id="36"/>
    <w:bookmarkStart w:id="61" w:name="построение-модели-в-cpntool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Построение модели в CPNTools</w:t>
      </w:r>
    </w:p>
    <w:p>
      <w:pPr>
        <w:pStyle w:val="FirstParagraph"/>
      </w:pPr>
      <w:r>
        <w:t xml:space="preserve">Создадим новый рабочий файл в CPNTools.После создания можно задать необходимые для работы сети декларации (рис. 4):</w:t>
      </w:r>
    </w:p>
    <w:bookmarkStart w:id="40" w:name="fig:004"/>
    <w:p>
      <w:pPr>
        <w:pStyle w:val="CaptionedFigure"/>
      </w:pPr>
      <w:r>
        <w:drawing>
          <wp:inline>
            <wp:extent cx="3080084" cy="895149"/>
            <wp:effectExtent b="0" l="0" r="0" t="0"/>
            <wp:docPr descr="Рис. 4: Заданные декларации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89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Заданные декларации</w:t>
      </w:r>
    </w:p>
    <w:bookmarkEnd w:id="40"/>
    <w:p>
      <w:pPr>
        <w:pStyle w:val="BodyText"/>
      </w:pPr>
      <w:r>
        <w:t xml:space="preserve">Создав необходимые декларации можно построить модель сети в рабочей области (рис. 5):</w:t>
      </w:r>
    </w:p>
    <w:bookmarkStart w:id="44" w:name="fig:005"/>
    <w:p>
      <w:pPr>
        <w:pStyle w:val="CaptionedFigure"/>
      </w:pPr>
      <w:r>
        <w:drawing>
          <wp:inline>
            <wp:extent cx="3733800" cy="2621604"/>
            <wp:effectExtent b="0" l="0" r="0" t="0"/>
            <wp:docPr descr="Рис. 5: Добавление состояний и дуг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состояний и дуг</w:t>
      </w:r>
    </w:p>
    <w:bookmarkEnd w:id="44"/>
    <w:p>
      <w:pPr>
        <w:pStyle w:val="BodyText"/>
      </w:pPr>
      <w:r>
        <w:t xml:space="preserve">Теперь добавим в модель тип и маркировку,также у всех дуг обозначим их выражения (рис. 6):</w:t>
      </w:r>
    </w:p>
    <w:bookmarkStart w:id="48" w:name="fig:006"/>
    <w:p>
      <w:pPr>
        <w:pStyle w:val="CaptionedFigure"/>
      </w:pPr>
      <w:r>
        <w:drawing>
          <wp:inline>
            <wp:extent cx="3733800" cy="2780489"/>
            <wp:effectExtent b="0" l="0" r="0" t="0"/>
            <wp:docPr descr="Рис. 6: Итоговая модель сети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Итоговая модель сети</w:t>
      </w:r>
    </w:p>
    <w:bookmarkEnd w:id="48"/>
    <w:p>
      <w:pPr>
        <w:pStyle w:val="BodyText"/>
      </w:pPr>
      <w:r>
        <w:t xml:space="preserve">Теперь запустим модель и понаблюдаем за ее работой (рис. 7):</w:t>
      </w:r>
    </w:p>
    <w:bookmarkStart w:id="52" w:name="fig:007"/>
    <w:p>
      <w:pPr>
        <w:pStyle w:val="CaptionedFigure"/>
      </w:pPr>
      <w:r>
        <w:drawing>
          <wp:inline>
            <wp:extent cx="3733800" cy="2760281"/>
            <wp:effectExtent b="0" l="0" r="0" t="0"/>
            <wp:docPr descr="Рис. 7: Модель в начале симуляции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Модель в начале симуляции</w:t>
      </w:r>
    </w:p>
    <w:bookmarkEnd w:id="52"/>
    <w:bookmarkStart w:id="56" w:name="fig:008"/>
    <w:p>
      <w:pPr>
        <w:pStyle w:val="CaptionedFigure"/>
      </w:pPr>
      <w:r>
        <w:drawing>
          <wp:inline>
            <wp:extent cx="3733800" cy="2814859"/>
            <wp:effectExtent b="0" l="0" r="0" t="0"/>
            <wp:docPr descr="Рис. 8: Модель в конце симуляции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Модель в конце симуляции</w:t>
      </w:r>
    </w:p>
    <w:bookmarkEnd w:id="56"/>
    <w:p>
      <w:pPr>
        <w:pStyle w:val="BodyText"/>
      </w:pPr>
      <w:r>
        <w:t xml:space="preserve">Теперь сформируем отчёт о пространстве состояний: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May  3 19:34:59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System'p1 1             1          1</w:t>
      </w:r>
      <w:r>
        <w:br/>
      </w:r>
      <w:r>
        <w:rPr>
          <w:rStyle w:val="VerbatimChar"/>
        </w:rPr>
        <w:t xml:space="preserve">     System'p2 1             1          0</w:t>
      </w:r>
      <w:r>
        <w:br/>
      </w:r>
      <w:r>
        <w:rPr>
          <w:rStyle w:val="VerbatimChar"/>
        </w:rPr>
        <w:t xml:space="preserve">     System'p3 1             1          0</w:t>
      </w:r>
      <w:r>
        <w:br/>
      </w:r>
      <w:r>
        <w:rPr>
          <w:rStyle w:val="VerbatimChar"/>
        </w:rPr>
        <w:t xml:space="preserve">     System'p4 1             1          0</w:t>
      </w:r>
      <w:r>
        <w:br/>
      </w:r>
      <w:r>
        <w:rPr>
          <w:rStyle w:val="VerbatimChar"/>
        </w:rPr>
        <w:t xml:space="preserve">     System'p5 1             1          0</w:t>
      </w:r>
      <w:r>
        <w:br/>
      </w:r>
      <w:r>
        <w:rPr>
          <w:rStyle w:val="VerbatimChar"/>
        </w:rPr>
        <w:t xml:space="preserve">     System'p6 1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System'p1 1         1`"Z-message"</w:t>
      </w:r>
      <w:r>
        <w:br/>
      </w:r>
      <w:r>
        <w:rPr>
          <w:rStyle w:val="VerbatimChar"/>
        </w:rPr>
        <w:t xml:space="preserve">     System'p2 1         1`"X-message"</w:t>
      </w:r>
      <w:r>
        <w:br/>
      </w:r>
      <w:r>
        <w:rPr>
          <w:rStyle w:val="VerbatimChar"/>
        </w:rPr>
        <w:t xml:space="preserve">     System'p3 1         1`"Y-message"</w:t>
      </w:r>
      <w:r>
        <w:br/>
      </w:r>
      <w:r>
        <w:rPr>
          <w:rStyle w:val="VerbatimChar"/>
        </w:rPr>
        <w:t xml:space="preserve">     System'p4 1         1`"X-message"</w:t>
      </w:r>
      <w:r>
        <w:br/>
      </w:r>
      <w:r>
        <w:rPr>
          <w:rStyle w:val="VerbatimChar"/>
        </w:rPr>
        <w:t xml:space="preserve">     System'p5 1         1`"Y-message"</w:t>
      </w:r>
      <w:r>
        <w:br/>
      </w:r>
      <w:r>
        <w:rPr>
          <w:rStyle w:val="VerbatimChar"/>
        </w:rPr>
        <w:t xml:space="preserve">     System'p6 1         1`("X-message","Y-message")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System'p1 1         1`"Z-message"</w:t>
      </w:r>
      <w:r>
        <w:br/>
      </w:r>
      <w:r>
        <w:rPr>
          <w:rStyle w:val="VerbatimChar"/>
        </w:rPr>
        <w:t xml:space="preserve">     System'p2 1         empty</w:t>
      </w:r>
      <w:r>
        <w:br/>
      </w:r>
      <w:r>
        <w:rPr>
          <w:rStyle w:val="VerbatimChar"/>
        </w:rPr>
        <w:t xml:space="preserve">     System'p3 1         empty</w:t>
      </w:r>
      <w:r>
        <w:br/>
      </w:r>
      <w:r>
        <w:rPr>
          <w:rStyle w:val="VerbatimChar"/>
        </w:rPr>
        <w:t xml:space="preserve">     System'p4 1         empty</w:t>
      </w:r>
      <w:r>
        <w:br/>
      </w:r>
      <w:r>
        <w:rPr>
          <w:rStyle w:val="VerbatimChar"/>
        </w:rPr>
        <w:t xml:space="preserve">     System'p5 1         empty</w:t>
      </w:r>
      <w:r>
        <w:br/>
      </w:r>
      <w:r>
        <w:rPr>
          <w:rStyle w:val="VerbatimChar"/>
        </w:rPr>
        <w:t xml:space="preserve">     System'p6 1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Impartial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Fair Transition Instances</w:t>
      </w:r>
      <w:r>
        <w:br/>
      </w:r>
      <w:r>
        <w:rPr>
          <w:rStyle w:val="VerbatimChar"/>
        </w:rPr>
        <w:t xml:space="preserve">     System't6 1</w:t>
      </w:r>
      <w:r>
        <w:br/>
      </w:r>
      <w:r>
        <w:br/>
      </w:r>
      <w:r>
        <w:rPr>
          <w:rStyle w:val="VerbatimChar"/>
        </w:rPr>
        <w:t xml:space="preserve">  Just Transition Instances</w:t>
      </w:r>
      <w:r>
        <w:br/>
      </w:r>
      <w:r>
        <w:rPr>
          <w:rStyle w:val="VerbatimChar"/>
        </w:rPr>
        <w:t xml:space="preserve">     System't5 1</w:t>
      </w:r>
      <w:r>
        <w:br/>
      </w:r>
      <w:r>
        <w:br/>
      </w:r>
      <w:r>
        <w:rPr>
          <w:rStyle w:val="VerbatimChar"/>
        </w:rPr>
        <w:t xml:space="preserve">  Transition Instances with No Fairness</w:t>
      </w:r>
      <w:r>
        <w:br/>
      </w:r>
      <w:r>
        <w:rPr>
          <w:rStyle w:val="VerbatimChar"/>
        </w:rPr>
        <w:t xml:space="preserve">     System't1 1</w:t>
      </w:r>
      <w:r>
        <w:br/>
      </w:r>
      <w:r>
        <w:rPr>
          <w:rStyle w:val="VerbatimChar"/>
        </w:rPr>
        <w:t xml:space="preserve">     System't2 1</w:t>
      </w:r>
      <w:r>
        <w:br/>
      </w:r>
      <w:r>
        <w:rPr>
          <w:rStyle w:val="VerbatimChar"/>
        </w:rPr>
        <w:t xml:space="preserve">     System't3 1</w:t>
      </w:r>
      <w:r>
        <w:br/>
      </w:r>
      <w:r>
        <w:rPr>
          <w:rStyle w:val="VerbatimChar"/>
        </w:rPr>
        <w:t xml:space="preserve">     System't4 1</w:t>
      </w:r>
      <w:r>
        <w:br/>
      </w:r>
      <w:r>
        <w:rPr>
          <w:rStyle w:val="VerbatimChar"/>
        </w:rPr>
        <w:t xml:space="preserve">     </w:t>
      </w:r>
    </w:p>
    <w:p>
      <w:pPr>
        <w:pStyle w:val="FirstParagraph"/>
      </w:pPr>
      <w:r>
        <w:t xml:space="preserve">После получения отчета можно построить граф пространства состояний (рис. 9):</w:t>
      </w:r>
    </w:p>
    <w:bookmarkStart w:id="60" w:name="fig:009"/>
    <w:p>
      <w:pPr>
        <w:pStyle w:val="CaptionedFigure"/>
      </w:pPr>
      <w:r>
        <w:drawing>
          <wp:inline>
            <wp:extent cx="3733800" cy="2041995"/>
            <wp:effectExtent b="0" l="0" r="0" t="0"/>
            <wp:docPr descr="Рис. 9: Пространство состояний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Пространство состояний</w:t>
      </w:r>
    </w:p>
    <w:bookmarkEnd w:id="60"/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сети Петри в качестве самостоятельного задания.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13. Задание для самостоятельного выполнения</dc:title>
  <dc:creator>Абакумова Олеся Максимовна, НФИбд-02-22</dc:creator>
  <dc:language>ru-RU</dc:language>
  <cp:keywords/>
  <dcterms:created xsi:type="dcterms:W3CDTF">2025-05-03T18:13:24Z</dcterms:created>
  <dcterms:modified xsi:type="dcterms:W3CDTF">2025-05-03T18:13:24Z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