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12. Пример моделирования простого протокола передачи данных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простого протокола передачи данных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модель простого протокола передачи данных</w:t>
      </w:r>
    </w:p>
    <w:p>
      <w:pPr>
        <w:numPr>
          <w:ilvl w:val="0"/>
          <w:numId w:val="1001"/>
        </w:numPr>
      </w:pPr>
      <w:r>
        <w:t xml:space="preserve">Выполнить упражнение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Рассмотрим ненадёжную сеть передачи данных, состоящую из источника, получателя.</w:t>
      </w:r>
      <w:r>
        <w:t xml:space="preserve"> </w:t>
      </w:r>
      <w:r>
        <w:t xml:space="preserve">Перед отправкой очередной порции данных источник должен получить от получателя подтверждение о доставке предыдущей порции данных.</w:t>
      </w:r>
      <w:r>
        <w:t xml:space="preserve"> </w:t>
      </w:r>
      <w:r>
        <w:t xml:space="preserve">Считаем, что пакет состоит из номера пакета и строковых данных. Передавать</w:t>
      </w:r>
      <w:r>
        <w:t xml:space="preserve"> </w:t>
      </w:r>
      <w:r>
        <w:t xml:space="preserve">будем сообщение «Modelling and Analysis by Means of Coloured Petry Nets», разбитое</w:t>
      </w:r>
      <w:r>
        <w:t xml:space="preserve"> </w:t>
      </w:r>
      <w:r>
        <w:t xml:space="preserve">по 8 символов.</w:t>
      </w:r>
    </w:p>
    <w:bookmarkEnd w:id="22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1" w:name="построение-модели-с-помощью-cpntool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 с помощью CPNTools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</w:t>
      </w:r>
      <w:r>
        <w:t xml:space="preserve"> </w:t>
      </w:r>
      <w:r>
        <w:t xml:space="preserve">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1) и состояния (рис. 2):</w:t>
      </w:r>
    </w:p>
    <w:bookmarkStart w:id="26" w:name="fig:001"/>
    <w:p>
      <w:pPr>
        <w:pStyle w:val="CaptionedFigure"/>
      </w:pPr>
      <w:r>
        <w:drawing>
          <wp:inline>
            <wp:extent cx="3733800" cy="2597252"/>
            <wp:effectExtent b="0" l="0" r="0" t="0"/>
            <wp:docPr descr="Рис. 1: Состоя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Состояния</w:t>
      </w:r>
    </w:p>
    <w:bookmarkEnd w:id="26"/>
    <w:bookmarkStart w:id="30" w:name="fig:002"/>
    <w:p>
      <w:pPr>
        <w:pStyle w:val="CaptionedFigure"/>
      </w:pPr>
      <w:r>
        <w:drawing>
          <wp:inline>
            <wp:extent cx="2849077" cy="1934677"/>
            <wp:effectExtent b="0" l="0" r="0" t="0"/>
            <wp:docPr descr="Рис. 2: Заданные деклараци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77" cy="193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Заданные декларации</w:t>
      </w:r>
    </w:p>
    <w:bookmarkEnd w:id="30"/>
    <w:p>
      <w:pPr>
        <w:pStyle w:val="BodyText"/>
      </w:pPr>
      <w:r>
        <w:t xml:space="preserve">Состояние Send имеет тип INTxDATA и следующую начальную маркировку (в</w:t>
      </w:r>
      <w:r>
        <w:t xml:space="preserve"> </w:t>
      </w:r>
      <w:r>
        <w:t xml:space="preserve">соответствии с передаваемой фразой) (рис. 3)</w:t>
      </w:r>
    </w:p>
    <w:bookmarkStart w:id="34" w:name="fig:003"/>
    <w:p>
      <w:pPr>
        <w:pStyle w:val="CaptionedFigure"/>
      </w:pPr>
      <w:r>
        <w:drawing>
          <wp:inline>
            <wp:extent cx="3733800" cy="2170152"/>
            <wp:effectExtent b="0" l="0" r="0" t="0"/>
            <wp:docPr descr="Рис. 3: Состояние Send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Состояние Send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3389141"/>
            <wp:effectExtent b="0" l="0" r="0" t="0"/>
            <wp:docPr descr="Рис. 4: Добавление дуг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дуг</w:t>
      </w:r>
    </w:p>
    <w:bookmarkEnd w:id="38"/>
    <w:p>
      <w:pPr>
        <w:pStyle w:val="BodyText"/>
      </w:pPr>
      <w:r>
        <w:t xml:space="preserve">Стоповый байт (</w:t>
      </w:r>
      <w:r>
        <w:t xml:space="preserve">“########”</w:t>
      </w:r>
      <w:r>
        <w:t xml:space="preserve">) определяет, что сообщение закончилось.</w:t>
      </w:r>
      <w:r>
        <w:t xml:space="preserve"> </w:t>
      </w:r>
      <w:r>
        <w:t xml:space="preserve">Состояние Receiver имеет тип DATA и начальное значение 1</w:t>
      </w:r>
      <w:r>
        <w:rPr>
          <w:rStyle w:val="VerbatimChar"/>
        </w:rPr>
        <w:t xml:space="preserve">"" (т.е. пустая строка, поскольку состояние собирает данные и номер пакета его не интересует). Состояние NextSend имеет тип INT и начальное значение 1</w:t>
      </w:r>
      <w:r>
        <w:t xml:space="preserve">1.</w:t>
      </w:r>
      <w:r>
        <w:t xml:space="preserve"> </w:t>
      </w:r>
      <w:r>
        <w:t xml:space="preserve">Поскольку пакеты представляют собой кортеж, состоящий из номера пакета и строки, то выражение у двусторонней дуги будет иметь значение (n,p).</w:t>
      </w:r>
      <w:r>
        <w:t xml:space="preserve"> </w:t>
      </w:r>
      <w:r>
        <w:t xml:space="preserve">Кроме того, необходимо взаимодействовать с состоянием, которое будет сообщать</w:t>
      </w:r>
      <w:r>
        <w:t xml:space="preserve"> </w:t>
      </w:r>
      <w:r>
        <w:t xml:space="preserve">номер следующего посылаемого пакета данных. Поэтому переход Send Packet</w:t>
      </w:r>
      <w:r>
        <w:t xml:space="preserve"> </w:t>
      </w:r>
      <w:r>
        <w:t xml:space="preserve">соединяем с состоянием NextSend двумя дугами с выражениями n.</w:t>
      </w:r>
      <w:r>
        <w:t xml:space="preserve"> </w:t>
      </w:r>
      <w:r>
        <w:t xml:space="preserve">Также необходимо получать информацию с подтверждениями о получении данных. От перехода Send Packet к состоянию NextSend дуга с выражением n,</w:t>
      </w:r>
      <w:r>
        <w:t xml:space="preserve"> </w:t>
      </w:r>
      <w:r>
        <w:t xml:space="preserve">обратно — k.</w:t>
      </w:r>
    </w:p>
    <w:p>
      <w:pPr>
        <w:pStyle w:val="BodyText"/>
      </w:pPr>
      <w:r>
        <w:t xml:space="preserve">Зададим промежуточные состояния (A, B с типом INTxDATA, C, D с типом</w:t>
      </w:r>
      <w:r>
        <w:t xml:space="preserve"> </w:t>
      </w:r>
      <w:r>
        <w:t xml:space="preserve">INTxDATA) для переходов (рис. 12.2): передать пакет Transmit Packet (передаём</w:t>
      </w:r>
      <w:r>
        <w:t xml:space="preserve"> </w:t>
      </w:r>
      <w:r>
        <w:t xml:space="preserve">(n,p)), передать подтверждение Transmit ACK (передаём целое число k) (рис. 5).</w:t>
      </w:r>
    </w:p>
    <w:bookmarkStart w:id="42" w:name="fig:005"/>
    <w:p>
      <w:pPr>
        <w:pStyle w:val="CaptionedFigure"/>
      </w:pPr>
      <w:r>
        <w:drawing>
          <wp:inline>
            <wp:extent cx="3733800" cy="2498869"/>
            <wp:effectExtent b="0" l="0" r="0" t="0"/>
            <wp:docPr descr="Рис. 5: Добавление промежуточных состояний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промежуточных состояний</w:t>
      </w:r>
    </w:p>
    <w:bookmarkEnd w:id="42"/>
    <w:p>
      <w:pPr>
        <w:pStyle w:val="BodyText"/>
      </w:pPr>
      <w:r>
        <w:t xml:space="preserve">Добавляем переход получения пакета (Receive Packet).</w:t>
      </w:r>
      <w:r>
        <w:t xml:space="preserve"> </w:t>
      </w:r>
      <w:r>
        <w:t xml:space="preserve">От состояния Receiver идёт дуга к переходу Receive Packet со значением той</w:t>
      </w:r>
      <w:r>
        <w:t xml:space="preserve"> </w:t>
      </w:r>
      <w:r>
        <w:t xml:space="preserve">строки (str), которая находится в состоянии Receiver. Обратно: проверяем, что</w:t>
      </w:r>
      <w:r>
        <w:t xml:space="preserve"> </w:t>
      </w:r>
      <w:r>
        <w:t xml:space="preserve">номер пакета новый и строка не равна стоп-биту. Если это так, то строку добавляем</w:t>
      </w:r>
      <w:r>
        <w:t xml:space="preserve"> </w:t>
      </w:r>
      <w:r>
        <w:t xml:space="preserve">к полученным данным.</w:t>
      </w:r>
      <w:r>
        <w:t xml:space="preserve"> </w:t>
      </w:r>
      <w:r>
        <w:t xml:space="preserve">Кроме того, необходимо знать, каким будет номер следующего пакета. Для этого</w:t>
      </w:r>
      <w:r>
        <w:t xml:space="preserve"> </w:t>
      </w:r>
      <w:r>
        <w:t xml:space="preserve">добавляем состояние NextRec с типом INT и начальным значением 1</w:t>
      </w:r>
      <w:r>
        <w:rPr>
          <w:rStyle w:val="VerbatimChar"/>
        </w:rPr>
        <w:t xml:space="preserve">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 (если n=k и мы не получили стоп-байт, то направляем в состояние строку и к ней прикрепляем p, в противном случае посылаем толко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</w:t>
      </w:r>
      <w:r>
        <w:t xml:space="preserve">8, соединяем с соответствующими переходами.</w:t>
      </w:r>
      <w:r>
        <w:t xml:space="preserve"> </w:t>
      </w:r>
      <w:r>
        <w:t xml:space="preserve">В декларациях задаём:</w:t>
      </w:r>
    </w:p>
    <w:p>
      <w:pPr>
        <w:pStyle w:val="SourceCode"/>
      </w:pPr>
      <w:r>
        <w:rPr>
          <w:rStyle w:val="VerbatimChar"/>
        </w:rPr>
        <w:t xml:space="preserve">colset Ten0 = int with 0..10;</w:t>
      </w:r>
      <w:r>
        <w:br/>
      </w:r>
      <w:r>
        <w:rPr>
          <w:rStyle w:val="VerbatimChar"/>
        </w:rPr>
        <w:t xml:space="preserve">colset Ten1 = int with 0..10;</w:t>
      </w:r>
      <w:r>
        <w:br/>
      </w:r>
      <w:r>
        <w:rPr>
          <w:rStyle w:val="VerbatimChar"/>
        </w:rPr>
        <w:t xml:space="preserve">var s: Ten0;</w:t>
      </w:r>
      <w:r>
        <w:br/>
      </w:r>
      <w:r>
        <w:rPr>
          <w:rStyle w:val="VerbatimChar"/>
        </w:rPr>
        <w:t xml:space="preserve">var r: Ten1;</w:t>
      </w:r>
    </w:p>
    <w:p>
      <w:pPr>
        <w:pStyle w:val="FirstParagraph"/>
      </w:pPr>
      <w:r>
        <w:t xml:space="preserve">и определяем функцию (если нет превышения порога, то истина, если нет — ложь):</w:t>
      </w:r>
    </w:p>
    <w:p>
      <w:pPr>
        <w:pStyle w:val="SourceCode"/>
      </w:pPr>
      <w:r>
        <w:rPr>
          <w:rStyle w:val="VerbatimChar"/>
        </w:rPr>
        <w:t xml:space="preserve">fun Ok(s:Ten0, r:Ten1)=(r&lt;=s);</w:t>
      </w:r>
    </w:p>
    <w:p>
      <w:pPr>
        <w:pStyle w:val="FirstParagraph"/>
      </w:pPr>
      <w:r>
        <w:t xml:space="preserve">Задаём выражение от перехода Transmit Packet к состоянию B:</w:t>
      </w:r>
    </w:p>
    <w:p>
      <w:pPr>
        <w:pStyle w:val="SourceCode"/>
      </w:pPr>
      <w:r>
        <w:rPr>
          <w:rStyle w:val="VerbatimChar"/>
        </w:rPr>
        <w:t xml:space="preserve">if Ok(s,r) then 1`(n,p) else empty</w:t>
      </w:r>
    </w:p>
    <w:p>
      <w:pPr>
        <w:pStyle w:val="FirstParagraph"/>
      </w:pPr>
      <w:r>
        <w:t xml:space="preserve">Задаём выражение от перехода Transmit ACK к состоянию D:</w:t>
      </w:r>
    </w:p>
    <w:p>
      <w:pPr>
        <w:pStyle w:val="SourceCode"/>
      </w:pPr>
      <w:r>
        <w:rPr>
          <w:rStyle w:val="VerbatimChar"/>
        </w:rPr>
        <w:t xml:space="preserve">if Ok(s,r) then 1`n else empty</w:t>
      </w:r>
    </w:p>
    <w:p>
      <w:pPr>
        <w:pStyle w:val="FirstParagraph"/>
      </w:pPr>
      <w:r>
        <w:t xml:space="preserve">Таким образом, получим модель простого протокола передачи данных (рис. 6).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стоп-последовательность.</w:t>
      </w:r>
    </w:p>
    <w:bookmarkStart w:id="46" w:name="fig:006"/>
    <w:p>
      <w:pPr>
        <w:pStyle w:val="CaptionedFigure"/>
      </w:pPr>
      <w:r>
        <w:drawing>
          <wp:inline>
            <wp:extent cx="3733800" cy="1924296"/>
            <wp:effectExtent b="0" l="0" r="0" t="0"/>
            <wp:docPr descr="Рис. 6: Модель простого протокола передачи данных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простого протокола передачи данных</w:t>
      </w:r>
    </w:p>
    <w:bookmarkEnd w:id="46"/>
    <w:p>
      <w:pPr>
        <w:pStyle w:val="BodyText"/>
      </w:pPr>
      <w:r>
        <w:t xml:space="preserve">Также моно запустить модель и понаблюдать за ее работой (рис. 7):</w:t>
      </w:r>
    </w:p>
    <w:bookmarkStart w:id="50" w:name="fig:007"/>
    <w:p>
      <w:pPr>
        <w:pStyle w:val="CaptionedFigure"/>
      </w:pPr>
      <w:r>
        <w:drawing>
          <wp:inline>
            <wp:extent cx="3733800" cy="2064815"/>
            <wp:effectExtent b="0" l="0" r="0" t="0"/>
            <wp:docPr descr="Рис. 7: Запуск модел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модели</w:t>
      </w:r>
    </w:p>
    <w:bookmarkEnd w:id="50"/>
    <w:bookmarkEnd w:id="51"/>
    <w:bookmarkStart w:id="56" w:name="выполнение-упражн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Выполнение упражнения</w:t>
      </w:r>
    </w:p>
    <w:p>
      <w:pPr>
        <w:pStyle w:val="FirstParagraph"/>
      </w:pPr>
      <w:r>
        <w:t xml:space="preserve">Сформируем отчет о пространстве состояний:</w:t>
      </w:r>
    </w:p>
    <w:p>
      <w:pPr>
        <w:pStyle w:val="SourceCode"/>
      </w:pPr>
      <w:r>
        <w:br/>
      </w: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/cygdrive/C/Users/user/Downloads/12lab.cpn</w:t>
      </w:r>
      <w:r>
        <w:br/>
      </w:r>
      <w:r>
        <w:rPr>
          <w:rStyle w:val="VerbatimChar"/>
        </w:rPr>
        <w:t xml:space="preserve">Report generated: Sat Apr 26 22:01:45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35836</w:t>
      </w:r>
      <w:r>
        <w:br/>
      </w:r>
      <w:r>
        <w:rPr>
          <w:rStyle w:val="VerbatimChar"/>
        </w:rPr>
        <w:t xml:space="preserve">     Arcs:   603776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18801</w:t>
      </w:r>
      <w:r>
        <w:br/>
      </w:r>
      <w:r>
        <w:rPr>
          <w:rStyle w:val="VerbatimChar"/>
        </w:rPr>
        <w:t xml:space="preserve">     Arcs:   508242</w:t>
      </w:r>
      <w:r>
        <w:br/>
      </w:r>
      <w:r>
        <w:rPr>
          <w:rStyle w:val="VerbatimChar"/>
        </w:rPr>
        <w:t xml:space="preserve">     Secs:   7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23         0</w:t>
      </w:r>
      <w:r>
        <w:br/>
      </w:r>
      <w:r>
        <w:rPr>
          <w:rStyle w:val="VerbatimChar"/>
        </w:rPr>
        <w:t xml:space="preserve">     Main'B 1                11         0</w:t>
      </w:r>
      <w:r>
        <w:br/>
      </w:r>
      <w:r>
        <w:rPr>
          <w:rStyle w:val="VerbatimChar"/>
        </w:rPr>
        <w:t xml:space="preserve">     Main'C 1                7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Main'Receiver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23`(1,"Modellin")++</w:t>
      </w:r>
      <w:r>
        <w:br/>
      </w:r>
      <w:r>
        <w:rPr>
          <w:rStyle w:val="VerbatimChar"/>
        </w:rPr>
        <w:t xml:space="preserve">17`(2,"g and An")++</w:t>
      </w:r>
      <w:r>
        <w:br/>
      </w:r>
      <w:r>
        <w:rPr>
          <w:rStyle w:val="VerbatimChar"/>
        </w:rPr>
        <w:t xml:space="preserve">12`(3,"alysis b")++</w:t>
      </w:r>
      <w:r>
        <w:br/>
      </w:r>
      <w:r>
        <w:rPr>
          <w:rStyle w:val="VerbatimChar"/>
        </w:rPr>
        <w:t xml:space="preserve">7`(4,"y Means ")++</w:t>
      </w:r>
      <w:r>
        <w:br/>
      </w:r>
      <w:r>
        <w:rPr>
          <w:rStyle w:val="VerbatimChar"/>
        </w:rPr>
        <w:t xml:space="preserve">2`(5,"of Colou")</w:t>
      </w:r>
      <w:r>
        <w:br/>
      </w:r>
      <w:r>
        <w:rPr>
          <w:rStyle w:val="VerbatimChar"/>
        </w:rPr>
        <w:t xml:space="preserve">     Main'B 1            11`(1,"Modellin")++</w:t>
      </w:r>
      <w:r>
        <w:br/>
      </w:r>
      <w:r>
        <w:rPr>
          <w:rStyle w:val="VerbatimChar"/>
        </w:rPr>
        <w:t xml:space="preserve">8`(2,"g and An")++</w:t>
      </w:r>
      <w:r>
        <w:br/>
      </w:r>
      <w:r>
        <w:rPr>
          <w:rStyle w:val="VerbatimChar"/>
        </w:rPr>
        <w:t xml:space="preserve">6`(3,"alysis b")++</w:t>
      </w:r>
      <w:r>
        <w:br/>
      </w:r>
      <w:r>
        <w:rPr>
          <w:rStyle w:val="VerbatimChar"/>
        </w:rPr>
        <w:t xml:space="preserve">3`(4,"y Means ")++</w:t>
      </w:r>
      <w:r>
        <w:br/>
      </w:r>
      <w:r>
        <w:rPr>
          <w:rStyle w:val="VerbatimChar"/>
        </w:rPr>
        <w:t xml:space="preserve">1`(5,"of Colou")</w:t>
      </w:r>
      <w:r>
        <w:br/>
      </w:r>
      <w:r>
        <w:rPr>
          <w:rStyle w:val="VerbatimChar"/>
        </w:rPr>
        <w:t xml:space="preserve">     Main'C 1            7`2++</w:t>
      </w:r>
      <w:r>
        <w:br/>
      </w:r>
      <w:r>
        <w:rPr>
          <w:rStyle w:val="VerbatimChar"/>
        </w:rPr>
        <w:t xml:space="preserve">6`3++</w:t>
      </w:r>
      <w:r>
        <w:br/>
      </w:r>
      <w:r>
        <w:rPr>
          <w:rStyle w:val="VerbatimChar"/>
        </w:rPr>
        <w:t xml:space="preserve">4`4++</w:t>
      </w:r>
      <w:r>
        <w:br/>
      </w:r>
      <w:r>
        <w:rPr>
          <w:rStyle w:val="VerbatimChar"/>
        </w:rPr>
        <w:t xml:space="preserve">2`5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4`3++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Main'Receiver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Main'Receiver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12678 [35836,35835,35834,35833,35832,...]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Impartial Transition Instances</w:t>
      </w:r>
      <w:r>
        <w:br/>
      </w:r>
      <w:r>
        <w:rPr>
          <w:rStyle w:val="VerbatimChar"/>
        </w:rPr>
        <w:t xml:space="preserve">     Main'Send_Packet 1</w:t>
      </w:r>
      <w:r>
        <w:br/>
      </w:r>
      <w:r>
        <w:rPr>
          <w:rStyle w:val="VerbatimChar"/>
        </w:rPr>
        <w:t xml:space="preserve">     Main'Transmit_Packet 1</w:t>
      </w:r>
      <w:r>
        <w:br/>
      </w:r>
      <w:r>
        <w:br/>
      </w:r>
      <w:r>
        <w:rPr>
          <w:rStyle w:val="VerbatimChar"/>
        </w:rPr>
        <w:t xml:space="preserve">  Fair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Just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Transition Instances with No Fairness</w:t>
      </w:r>
      <w:r>
        <w:br/>
      </w:r>
      <w:r>
        <w:rPr>
          <w:rStyle w:val="VerbatimChar"/>
        </w:rPr>
        <w:t xml:space="preserve">     Main'Next_ACK 1</w:t>
      </w:r>
      <w:r>
        <w:br/>
      </w:r>
      <w:r>
        <w:rPr>
          <w:rStyle w:val="VerbatimChar"/>
        </w:rPr>
        <w:t xml:space="preserve">     Main'Received_Packet 1</w:t>
      </w:r>
      <w:r>
        <w:br/>
      </w:r>
      <w:r>
        <w:rPr>
          <w:rStyle w:val="VerbatimChar"/>
        </w:rPr>
        <w:t xml:space="preserve">     Main'Transmit_ACK 1</w:t>
      </w:r>
    </w:p>
    <w:p>
      <w:pPr>
        <w:pStyle w:val="FirstParagraph"/>
      </w:pPr>
      <w:r>
        <w:t xml:space="preserve">Получив отчет о пространстве состояний, также можем построить граф (рис. 8):</w:t>
      </w:r>
    </w:p>
    <w:bookmarkStart w:id="55" w:name="fig:008"/>
    <w:p>
      <w:pPr>
        <w:pStyle w:val="CaptionedFigure"/>
      </w:pPr>
      <w:r>
        <w:drawing>
          <wp:inline>
            <wp:extent cx="3733800" cy="2700915"/>
            <wp:effectExtent b="0" l="0" r="0" t="0"/>
            <wp:docPr descr="Рис. 8: Огромный граф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Огромный граф</w:t>
      </w:r>
    </w:p>
    <w:bookmarkEnd w:id="55"/>
    <w:p>
      <w:pPr>
        <w:pStyle w:val="BodyText"/>
      </w:pPr>
      <w:r>
        <w:t xml:space="preserve">Как можно заметить на иллюстрации поместился не весь граф пространства состояний, это было очевидно из еще полученного отчета, что граф будет неверотно огромным.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простого протокола передачи данных.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12. Пример моделирования простого протокола передачи данных</dc:title>
  <dc:creator>Абакумова Олеся Максимовна, НФИбд-02-22</dc:creator>
  <dc:language>ru-RU</dc:language>
  <cp:keywords/>
  <dcterms:created xsi:type="dcterms:W3CDTF">2025-04-26T19:54:32Z</dcterms:created>
  <dcterms:modified xsi:type="dcterms:W3CDTF">2025-04-26T19:54:32Z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