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9. Модель «Накорми студентов»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«Накорми студентов» с помощью CPN Tools и накормить студентов.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Построить модель «Накорми студентов» в CPN Tools.</w:t>
      </w:r>
    </w:p>
    <w:p>
      <w:pPr>
        <w:numPr>
          <w:ilvl w:val="0"/>
          <w:numId w:val="1001"/>
        </w:numPr>
      </w:pPr>
      <w:r>
        <w:t xml:space="preserve">Выполнить упражнение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CPN Tools — специальное программное средство, предназначенное для мо-</w:t>
      </w:r>
      <w:r>
        <w:t xml:space="preserve"> </w:t>
      </w:r>
      <w:r>
        <w:t xml:space="preserve">делирования иерархических временных раскрашенных сетей Петри. Такие сети</w:t>
      </w:r>
      <w:r>
        <w:t xml:space="preserve"> </w:t>
      </w:r>
      <w:r>
        <w:t xml:space="preserve">эквивалентны машине Тьюринга и составляют универсальную алгоритмическую</w:t>
      </w:r>
      <w:r>
        <w:t xml:space="preserve"> </w:t>
      </w:r>
      <w:r>
        <w:t xml:space="preserve">систему, позволяющую описать произвольный объект.</w:t>
      </w:r>
      <w:r>
        <w:t xml:space="preserve"> </w:t>
      </w:r>
      <w:r>
        <w:t xml:space="preserve">CPN Tools позволяет визуализировать модель с помощью графа сети Петри и применить язык программирования CPN ML (Colored Petri Net Markup Language) для</w:t>
      </w:r>
      <w:r>
        <w:t xml:space="preserve"> </w:t>
      </w:r>
      <w:r>
        <w:t xml:space="preserve">формализованного описания модели.</w:t>
      </w:r>
      <w:r>
        <w:t xml:space="preserve"> </w:t>
      </w:r>
      <w:r>
        <w:t xml:space="preserve">Назначение CPN Tools:</w:t>
      </w:r>
    </w:p>
    <w:p>
      <w:pPr>
        <w:numPr>
          <w:ilvl w:val="0"/>
          <w:numId w:val="1002"/>
        </w:numPr>
      </w:pPr>
      <w:r>
        <w:t xml:space="preserve">разработка сложных объектов и моделирование процессов в различных прикладных областях, в том числе:</w:t>
      </w:r>
    </w:p>
    <w:p>
      <w:pPr>
        <w:numPr>
          <w:ilvl w:val="0"/>
          <w:numId w:val="1002"/>
        </w:numPr>
      </w:pPr>
      <w:r>
        <w:t xml:space="preserve">моделирование производственных и бизнес-процессов;</w:t>
      </w:r>
    </w:p>
    <w:p>
      <w:pPr>
        <w:numPr>
          <w:ilvl w:val="0"/>
          <w:numId w:val="1002"/>
        </w:numPr>
      </w:pPr>
      <w:r>
        <w:t xml:space="preserve">моделирование систем управления производственными системами и роботами;</w:t>
      </w:r>
    </w:p>
    <w:p>
      <w:pPr>
        <w:numPr>
          <w:ilvl w:val="0"/>
          <w:numId w:val="1002"/>
        </w:numPr>
      </w:pPr>
      <w:r>
        <w:t xml:space="preserve">спецификация и верификация протоколов, оценка пропускной способности сетей</w:t>
      </w:r>
    </w:p>
    <w:p>
      <w:pPr>
        <w:pStyle w:val="FirstParagraph"/>
      </w:pPr>
      <w:r>
        <w:t xml:space="preserve">и качества обслуживания, проектирование телекоммуникационных устройств</w:t>
      </w:r>
      <w:r>
        <w:t xml:space="preserve"> </w:t>
      </w:r>
      <w:r>
        <w:t xml:space="preserve">и сетей.</w:t>
      </w:r>
      <w:r>
        <w:t xml:space="preserve"> </w:t>
      </w:r>
      <w:r>
        <w:t xml:space="preserve">Основные функции CPN Tools:</w:t>
      </w:r>
    </w:p>
    <w:p>
      <w:pPr>
        <w:numPr>
          <w:ilvl w:val="0"/>
          <w:numId w:val="1003"/>
        </w:numPr>
      </w:pPr>
      <w:r>
        <w:t xml:space="preserve">создание (редактирование) моделей;</w:t>
      </w:r>
    </w:p>
    <w:p>
      <w:pPr>
        <w:numPr>
          <w:ilvl w:val="0"/>
          <w:numId w:val="1003"/>
        </w:numPr>
      </w:pPr>
      <w:r>
        <w:t xml:space="preserve">анализ поведения моделей с помощью имитации динамики сети Петри;</w:t>
      </w:r>
    </w:p>
    <w:p>
      <w:pPr>
        <w:numPr>
          <w:ilvl w:val="0"/>
          <w:numId w:val="1003"/>
        </w:numPr>
      </w:pPr>
      <w:r>
        <w:t xml:space="preserve">построение и анализ пространства состояний модели.</w:t>
      </w:r>
    </w:p>
    <w:p>
      <w:pPr>
        <w:pStyle w:val="FirstParagraph"/>
      </w:pPr>
      <w:r>
        <w:t xml:space="preserve">Рассмотрим пример студентов, обедающих пирогами. Голодный студент становится сытым после того, как съедает пирог (рис. 1).</w:t>
      </w:r>
      <w:r>
        <w:t xml:space="preserve"> </w:t>
      </w:r>
      <w:r>
        <w:t xml:space="preserve">Таким образом, имеем:</w:t>
      </w:r>
      <w:r>
        <w:t xml:space="preserve"> </w:t>
      </w:r>
      <w:r>
        <w:t xml:space="preserve">- два типа фишек: «пироги» и «студенты»;</w:t>
      </w:r>
    </w:p>
    <w:p>
      <w:pPr>
        <w:numPr>
          <w:ilvl w:val="0"/>
          <w:numId w:val="1004"/>
        </w:numPr>
      </w:pPr>
      <w:r>
        <w:t xml:space="preserve">три позиции: «голодный студент», «пирожки», «сытый студент»;</w:t>
      </w:r>
    </w:p>
    <w:p>
      <w:pPr>
        <w:numPr>
          <w:ilvl w:val="0"/>
          <w:numId w:val="1004"/>
        </w:numPr>
      </w:pPr>
      <w:r>
        <w:t xml:space="preserve">один переход: «съесть пирожок».</w:t>
      </w:r>
    </w:p>
    <w:bookmarkStart w:id="25" w:name="fig:001"/>
    <w:p>
      <w:pPr>
        <w:pStyle w:val="CaptionedFigure"/>
      </w:pPr>
      <w:r>
        <w:drawing>
          <wp:inline>
            <wp:extent cx="3733800" cy="2187773"/>
            <wp:effectExtent b="0" l="0" r="0" t="0"/>
            <wp:docPr descr="Рис. 1: Много пирожк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Много пирожков</w:t>
      </w:r>
    </w:p>
    <w:bookmarkEnd w:id="25"/>
    <w:bookmarkEnd w:id="26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3" w:name="реализация-модели-накорми-студенто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модели «Накорми студентов»</w:t>
      </w:r>
    </w:p>
    <w:p>
      <w:pPr>
        <w:pStyle w:val="FirstParagraph"/>
      </w:pPr>
      <w:r>
        <w:t xml:space="preserve">Рисуем граф сети. Для этого с помощью контекстного меню создаём новую</w:t>
      </w:r>
      <w:r>
        <w:t xml:space="preserve"> </w:t>
      </w:r>
      <w:r>
        <w:t xml:space="preserve">сеть, добавляем позиции, переход и дуги (рис. 2):</w:t>
      </w:r>
    </w:p>
    <w:bookmarkStart w:id="30" w:name="fig:002"/>
    <w:p>
      <w:pPr>
        <w:pStyle w:val="CaptionedFigure"/>
      </w:pPr>
      <w:r>
        <w:drawing>
          <wp:inline>
            <wp:extent cx="3733800" cy="1632724"/>
            <wp:effectExtent b="0" l="0" r="0" t="0"/>
            <wp:docPr descr="Рис. 2: Граф сети модели «Накорми студентов»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 сети модели «Накорми студентов»</w:t>
      </w:r>
    </w:p>
    <w:bookmarkEnd w:id="30"/>
    <w:p>
      <w:pPr>
        <w:pStyle w:val="BodyText"/>
      </w:pPr>
      <w:r>
        <w:t xml:space="preserve">В меню задаём новые декларации модели: типы фишек, начальные значения</w:t>
      </w:r>
      <w:r>
        <w:t xml:space="preserve"> </w:t>
      </w:r>
      <w:r>
        <w:t xml:space="preserve">позиций, выражения для дуг.</w:t>
      </w:r>
      <w:r>
        <w:t xml:space="preserve"> </w:t>
      </w:r>
      <w:r>
        <w:t xml:space="preserve">После этого задаем тип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фишкам, относящимся к студентам, тип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— фишкам,</w:t>
      </w:r>
      <w:r>
        <w:t xml:space="preserve"> </w:t>
      </w:r>
      <w:r>
        <w:t xml:space="preserve">относящимся к пирогам, задаём значения переменных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для дуг и начальные</w:t>
      </w:r>
      <w:r>
        <w:t xml:space="preserve"> </w:t>
      </w:r>
      <w:r>
        <w:t xml:space="preserve">значения мультимножеств</w:t>
      </w:r>
      <w:r>
        <w:t xml:space="preserve"> </w:t>
      </w:r>
      <w:r>
        <w:rPr>
          <w:b/>
          <w:bCs/>
        </w:rPr>
        <w:t xml:space="preserve">init_stud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init_food</w:t>
      </w:r>
      <w:r>
        <w:t xml:space="preserve"> </w:t>
      </w:r>
      <w:r>
        <w:t xml:space="preserve">(рис. 3):</w:t>
      </w:r>
    </w:p>
    <w:bookmarkStart w:id="34" w:name="fig:003"/>
    <w:p>
      <w:pPr>
        <w:pStyle w:val="CaptionedFigure"/>
      </w:pPr>
      <w:r>
        <w:drawing>
          <wp:inline>
            <wp:extent cx="3035300" cy="3530600"/>
            <wp:effectExtent b="0" l="0" r="0" t="0"/>
            <wp:docPr descr="Рис. 3: Декларации модел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353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Декларации модели</w:t>
      </w:r>
    </w:p>
    <w:bookmarkEnd w:id="34"/>
    <w:p>
      <w:pPr>
        <w:pStyle w:val="BodyText"/>
      </w:pPr>
      <w:r>
        <w:t xml:space="preserve">После запуска фишки типа «пирожки» из позиции «еда» и фишки типа «студенты» из позиции «голодный студент», пройдя через переход «кушать», попадают</w:t>
      </w:r>
      <w:r>
        <w:t xml:space="preserve"> </w:t>
      </w:r>
      <w:r>
        <w:t xml:space="preserve">в позицию «сытый студент» и преобразуются в тип «студенты» (рис. 4):</w:t>
      </w:r>
    </w:p>
    <w:bookmarkStart w:id="38" w:name="fig:004"/>
    <w:p>
      <w:pPr>
        <w:pStyle w:val="CaptionedFigure"/>
      </w:pPr>
      <w:r>
        <w:drawing>
          <wp:inline>
            <wp:extent cx="3733800" cy="2541436"/>
            <wp:effectExtent b="0" l="0" r="0" t="0"/>
            <wp:docPr descr="Рис. 4: До запуска симуляци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 запуска симуляции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2203358"/>
            <wp:effectExtent b="0" l="0" r="0" t="0"/>
            <wp:docPr descr="Рис. 5: После запуска симуля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После запуска симуляции</w:t>
      </w:r>
    </w:p>
    <w:bookmarkEnd w:id="42"/>
    <w:bookmarkEnd w:id="43"/>
    <w:bookmarkStart w:id="48" w:name="упражнени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Теперь вычислим пространство состояний (рис. 6):</w:t>
      </w:r>
    </w:p>
    <w:bookmarkStart w:id="47" w:name="fig:006"/>
    <w:p>
      <w:pPr>
        <w:pStyle w:val="CaptionedFigure"/>
      </w:pPr>
      <w:r>
        <w:drawing>
          <wp:inline>
            <wp:extent cx="3733800" cy="1572279"/>
            <wp:effectExtent b="0" l="0" r="0" t="0"/>
            <wp:docPr descr="Рис. 6: Пространство состояний для модели «Накорми студентов»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Пространство состояний для модели «Накорми студентов»</w:t>
      </w:r>
    </w:p>
    <w:bookmarkEnd w:id="47"/>
    <w:p>
      <w:pPr>
        <w:pStyle w:val="BodyText"/>
      </w:pPr>
      <w:r>
        <w:t xml:space="preserve">Теперь сформуируем отчет о пространстве состояний:</w:t>
      </w:r>
    </w:p>
    <w:p>
      <w:pPr>
        <w:pStyle w:val="SourceCode"/>
      </w:pPr>
      <w:r>
        <w:br/>
      </w: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Apr  5 14:30:52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New_Page'food 1         5          2</w:t>
      </w:r>
      <w:r>
        <w:br/>
      </w:r>
      <w:r>
        <w:rPr>
          <w:rStyle w:val="VerbatimChar"/>
        </w:rPr>
        <w:t xml:space="preserve">     New_Page'hungry_student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rPr>
          <w:rStyle w:val="VerbatimChar"/>
        </w:rPr>
        <w:t xml:space="preserve">     New_Page'satisfied_student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New_Page'food 1     5`pasty</w:t>
      </w:r>
      <w:r>
        <w:br/>
      </w:r>
      <w:r>
        <w:rPr>
          <w:rStyle w:val="VerbatimChar"/>
        </w:rPr>
        <w:t xml:space="preserve">     New_Page'hungry_student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rPr>
          <w:rStyle w:val="VerbatimChar"/>
        </w:rPr>
        <w:t xml:space="preserve">     New_Page'satisfied_student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New_Page'food 1     2`pasty</w:t>
      </w:r>
      <w:r>
        <w:br/>
      </w:r>
      <w:r>
        <w:rPr>
          <w:rStyle w:val="VerbatimChar"/>
        </w:rPr>
        <w:t xml:space="preserve">     New_Page'hungry_student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New_Page'satisfied_student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No infinite occurrence sequences.</w:t>
      </w:r>
      <w:r>
        <w:br/>
      </w:r>
      <w:r>
        <w:rPr>
          <w:rStyle w:val="VerbatimChar"/>
        </w:rPr>
        <w:t xml:space="preserve">     </w:t>
      </w:r>
    </w:p>
    <w:p>
      <w:pPr>
        <w:pStyle w:val="FirstParagraph"/>
      </w:pPr>
      <w:r>
        <w:t xml:space="preserve">Отчет анализирует сеть Петри с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состояниями и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переходами, моделирующую систему с «пирожками», «голодными» и «сытыми студентами», где количество пирожков варьируется от 2 до 5, а количество голодных и сытых студентов от 0 до 3. Состояние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является «домашним» и «мертвым», что означает возможность возврата к нему, но невозможность его покинуть.Бесконечные циклы отсутствуют.</w:t>
      </w:r>
    </w:p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реализовала модель «Накорми студентов».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9. Модель «Накорми студентов»</dc:title>
  <dc:creator>Абакумова Олеся Максимовна, НФИбд-02-22</dc:creator>
  <dc:language>ru-RU</dc:language>
  <cp:keywords/>
  <dcterms:created xsi:type="dcterms:W3CDTF">2025-04-05T12:05:06Z</dcterms:created>
  <dcterms:modified xsi:type="dcterms:W3CDTF">2025-04-05T12:05:06Z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