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6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16. Задачи оптимизации. Модель двух стратегий обслуживания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принципы работы GPSS для реализации моделей двух стратегий обслуживания.</w:t>
      </w:r>
    </w:p>
    <w:bookmarkEnd w:id="20"/>
    <w:bookmarkStart w:id="21" w:name="постановка-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На пограничном контрольно-пропускном пункте транспорта имеются 2 пункта</w:t>
      </w:r>
      <w:r>
        <w:t xml:space="preserve"> </w:t>
      </w:r>
      <w:r>
        <w:t xml:space="preserve">пропуска. Интервалы времени между поступлением автомобилей имеют экспоненциальное распределение со средним значением μ. Время прохождения автомобилями</w:t>
      </w:r>
      <w:r>
        <w:t xml:space="preserve"> </w:t>
      </w:r>
      <w:r>
        <w:t xml:space="preserve">пограничного контроля имеет равномерное распределение на интервале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  <w:r>
        <w:t xml:space="preserve"> </w:t>
      </w:r>
      <w:r>
        <w:t xml:space="preserve">Предлагается две стратегии обслуживания прибывающих автомобилей:</w:t>
      </w:r>
    </w:p>
    <w:p>
      <w:pPr>
        <w:numPr>
          <w:ilvl w:val="0"/>
          <w:numId w:val="1001"/>
        </w:numPr>
      </w:pPr>
      <w:r>
        <w:t xml:space="preserve">Автомобили образуют две очереди и обслуживаются соответствующими пунктами</w:t>
      </w:r>
      <w:r>
        <w:t xml:space="preserve"> </w:t>
      </w:r>
      <w:r>
        <w:t xml:space="preserve">пропуска;</w:t>
      </w:r>
    </w:p>
    <w:p>
      <w:pPr>
        <w:numPr>
          <w:ilvl w:val="0"/>
          <w:numId w:val="1001"/>
        </w:numPr>
      </w:pPr>
      <w:r>
        <w:t xml:space="preserve">автомобили образуют одну общую очередь и обслуживаются освободившимся</w:t>
      </w:r>
      <w:r>
        <w:t xml:space="preserve"> </w:t>
      </w:r>
      <w:r>
        <w:t xml:space="preserve">пунктом пропуска.</w:t>
      </w:r>
    </w:p>
    <w:p>
      <w:pPr>
        <w:pStyle w:val="FirstParagraph"/>
      </w:pPr>
      <w:r>
        <w:t xml:space="preserve">Исходные данные: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1, 75 мин,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 мин,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7 мин.</w:t>
      </w:r>
    </w:p>
    <w:bookmarkEnd w:id="21"/>
    <w:bookmarkStart w:id="30" w:name="построение-модел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Целью моделирования является определение:</w:t>
      </w:r>
    </w:p>
    <w:p>
      <w:pPr>
        <w:numPr>
          <w:ilvl w:val="0"/>
          <w:numId w:val="1002"/>
        </w:numPr>
      </w:pPr>
      <w:r>
        <w:t xml:space="preserve">характеристик качества обслуживания автомобилей, в частности, средних длин</w:t>
      </w:r>
      <w:r>
        <w:t xml:space="preserve"> </w:t>
      </w:r>
      <w:r>
        <w:t xml:space="preserve">очередей; среднего времени обслуживания автомобиля; среднего времени пребывания автомобиля на пункте пропуска;</w:t>
      </w:r>
    </w:p>
    <w:p>
      <w:pPr>
        <w:numPr>
          <w:ilvl w:val="0"/>
          <w:numId w:val="1002"/>
        </w:numPr>
      </w:pPr>
      <w:r>
        <w:t xml:space="preserve">наилучшей стратегии обслуживания автомобилей на пункте пограничного контроля;</w:t>
      </w:r>
    </w:p>
    <w:p>
      <w:pPr>
        <w:numPr>
          <w:ilvl w:val="0"/>
          <w:numId w:val="1002"/>
        </w:numPr>
      </w:pPr>
      <w:r>
        <w:t xml:space="preserve">оптимального количества пропускных пунктов.</w:t>
      </w:r>
      <w:r>
        <w:t xml:space="preserve"> </w:t>
      </w:r>
      <w:r>
        <w:t xml:space="preserve">В качестве критериев, используемых для сравнения стратегий обслуживания</w:t>
      </w:r>
      <w:r>
        <w:t xml:space="preserve"> </w:t>
      </w:r>
      <w:r>
        <w:t xml:space="preserve">автомобилей, выберем:</w:t>
      </w:r>
    </w:p>
    <w:p>
      <w:pPr>
        <w:numPr>
          <w:ilvl w:val="1"/>
          <w:numId w:val="1003"/>
        </w:numPr>
      </w:pPr>
      <w:r>
        <w:t xml:space="preserve">коэффициенты загрузки системы;</w:t>
      </w:r>
    </w:p>
    <w:p>
      <w:pPr>
        <w:numPr>
          <w:ilvl w:val="1"/>
          <w:numId w:val="1003"/>
        </w:numPr>
      </w:pPr>
      <w:r>
        <w:t xml:space="preserve">максимальные и средние длины очередей;</w:t>
      </w:r>
    </w:p>
    <w:p>
      <w:pPr>
        <w:numPr>
          <w:ilvl w:val="1"/>
          <w:numId w:val="1003"/>
        </w:numPr>
      </w:pPr>
      <w:r>
        <w:t xml:space="preserve">средние значения времени ожидания обслуживания.</w:t>
      </w:r>
    </w:p>
    <w:p>
      <w:pPr>
        <w:pStyle w:val="FirstParagraph"/>
      </w:pPr>
      <w:r>
        <w:t xml:space="preserve">Для первой стратегии обслуживания, когда прибывающие автомобили образуют</w:t>
      </w:r>
      <w:r>
        <w:t xml:space="preserve"> </w:t>
      </w:r>
      <w:r>
        <w:t xml:space="preserve">две очереди и обслуживаются соответствующими пропускными пунктами, имеем</w:t>
      </w:r>
      <w:r>
        <w:t xml:space="preserve"> </w:t>
      </w:r>
      <w:r>
        <w:t xml:space="preserve">следующую модель (рис. 1):</w:t>
      </w:r>
    </w:p>
    <w:bookmarkStart w:id="25" w:name="fig:001"/>
    <w:p>
      <w:pPr>
        <w:pStyle w:val="CaptionedFigure"/>
      </w:pPr>
      <w:r>
        <w:drawing>
          <wp:inline>
            <wp:extent cx="3733800" cy="3337560"/>
            <wp:effectExtent b="0" l="0" r="0" t="0"/>
            <wp:docPr descr="Рис. 1: Код модели 1 стратеги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7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 модели 1 стратегии</w:t>
      </w:r>
    </w:p>
    <w:bookmarkEnd w:id="25"/>
    <w:p>
      <w:pPr>
        <w:pStyle w:val="BodyText"/>
      </w:pPr>
      <w:r>
        <w:t xml:space="preserve">После запуска симуляции получаем следующий отчет (рис. 2):</w:t>
      </w:r>
    </w:p>
    <w:bookmarkStart w:id="29" w:name="fig:002"/>
    <w:p>
      <w:pPr>
        <w:pStyle w:val="CaptionedFigure"/>
      </w:pPr>
      <w:r>
        <w:drawing>
          <wp:inline>
            <wp:extent cx="3733800" cy="5047029"/>
            <wp:effectExtent b="0" l="0" r="0" t="0"/>
            <wp:docPr descr="Рис. 2: Отчёт по модели 1 стратеги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47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Отчёт по модели 1 стратегии</w:t>
      </w:r>
    </w:p>
    <w:bookmarkEnd w:id="29"/>
    <w:bookmarkEnd w:id="30"/>
    <w:bookmarkStart w:id="31" w:name="зада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Задание</w:t>
      </w:r>
    </w:p>
    <w:p>
      <w:pPr>
        <w:numPr>
          <w:ilvl w:val="0"/>
          <w:numId w:val="1004"/>
        </w:numPr>
      </w:pPr>
      <w:r>
        <w:t xml:space="preserve">Составить модель для второй стратегии обслуживания, когда прибывающие автомобили образуют одну очередь и обслуживаются освободившимся пропускным</w:t>
      </w:r>
      <w:r>
        <w:t xml:space="preserve"> </w:t>
      </w:r>
      <w:r>
        <w:t xml:space="preserve">пунктом;</w:t>
      </w:r>
    </w:p>
    <w:p>
      <w:pPr>
        <w:numPr>
          <w:ilvl w:val="0"/>
          <w:numId w:val="1004"/>
        </w:numPr>
      </w:pPr>
      <w:r>
        <w:t xml:space="preserve">Свести полученные статистики моделирования в таблицу</w:t>
      </w:r>
    </w:p>
    <w:p>
      <w:pPr>
        <w:numPr>
          <w:ilvl w:val="0"/>
          <w:numId w:val="1004"/>
        </w:numPr>
      </w:pPr>
      <w:r>
        <w:t xml:space="preserve">По результатам моделирования сделать вывод о наилучшей стратегии обслуживания автомобилей;</w:t>
      </w:r>
    </w:p>
    <w:p>
      <w:pPr>
        <w:numPr>
          <w:ilvl w:val="0"/>
          <w:numId w:val="1004"/>
        </w:numPr>
      </w:pPr>
      <w:r>
        <w:t xml:space="preserve">Изменив модели, определить оптимальное число пропускных пунктов (от 1 до 4)</w:t>
      </w:r>
      <w:r>
        <w:t xml:space="preserve"> </w:t>
      </w:r>
      <w:r>
        <w:t xml:space="preserve">для каждой стратегии при условии, что:</w:t>
      </w:r>
    </w:p>
    <w:p>
      <w:pPr>
        <w:numPr>
          <w:ilvl w:val="0"/>
          <w:numId w:val="1005"/>
        </w:numPr>
      </w:pPr>
      <w:r>
        <w:t xml:space="preserve">коэффициент загрузки пропускных пунктов принадлежит интервалу [0, 5; 0, 95];</w:t>
      </w:r>
    </w:p>
    <w:p>
      <w:pPr>
        <w:numPr>
          <w:ilvl w:val="0"/>
          <w:numId w:val="1005"/>
        </w:numPr>
      </w:pPr>
      <w:r>
        <w:t xml:space="preserve">среднее число автомобилей, одновременно находящихся на контрольно-пропускном пункте, не должно превышать 3;</w:t>
      </w:r>
    </w:p>
    <w:p>
      <w:pPr>
        <w:numPr>
          <w:ilvl w:val="0"/>
          <w:numId w:val="1005"/>
        </w:numPr>
      </w:pPr>
      <w:r>
        <w:t xml:space="preserve">среднее время ожидания обслуживания не должно превышать 4 мин.</w:t>
      </w:r>
    </w:p>
    <w:bookmarkEnd w:id="31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6"/>
        </w:numPr>
      </w:pPr>
      <w:r>
        <w:t xml:space="preserve">Для начала составим модель для второй стратегии обслуживания,она будет выглядеть следующим образом (рис. 3):</w:t>
      </w:r>
    </w:p>
    <w:bookmarkStart w:id="35" w:name="fig:003"/>
    <w:p>
      <w:pPr>
        <w:pStyle w:val="CaptionedFigure"/>
      </w:pPr>
      <w:r>
        <w:drawing>
          <wp:inline>
            <wp:extent cx="4267200" cy="2639951"/>
            <wp:effectExtent b="0" l="0" r="0" t="0"/>
            <wp:docPr descr="Рис. 3: Код модели для второй стратегии обслуживания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39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Код модели для второй стратегии обслуживания</w:t>
      </w:r>
    </w:p>
    <w:bookmarkEnd w:id="35"/>
    <w:p>
      <w:pPr>
        <w:pStyle w:val="BodyText"/>
      </w:pPr>
      <w:r>
        <w:t xml:space="preserve">При запуске такой модели получаем следующий отчет (рис. 4):</w:t>
      </w:r>
    </w:p>
    <w:bookmarkStart w:id="39" w:name="fig:004"/>
    <w:p>
      <w:pPr>
        <w:pStyle w:val="CaptionedFigure"/>
      </w:pPr>
      <w:r>
        <w:drawing>
          <wp:inline>
            <wp:extent cx="3733800" cy="3760661"/>
            <wp:effectExtent b="0" l="0" r="0" t="0"/>
            <wp:docPr descr="Рис. 4: Отчет по модели для второй стратегии обслуживания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0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Отчет по модели для второй стратегии обслуживания</w:t>
      </w:r>
    </w:p>
    <w:bookmarkEnd w:id="39"/>
    <w:p>
      <w:pPr>
        <w:pStyle w:val="Compact"/>
        <w:numPr>
          <w:ilvl w:val="0"/>
          <w:numId w:val="1007"/>
        </w:numPr>
      </w:pPr>
      <w:r>
        <w:t xml:space="preserve">Сведем полученные данные в таблицу 1.</w:t>
      </w:r>
    </w:p>
    <w:bookmarkStart w:id="40" w:name="tbl:strategy"/>
    <w:p>
      <w:pPr>
        <w:pStyle w:val="TableCaption"/>
      </w:pPr>
      <w:r>
        <w:t xml:space="preserve">Таблица 1: Сравнение стратегий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Сравнение стратегий"/>
      </w:tblPr>
      <w:tblGrid>
        <w:gridCol w:w="2996"/>
        <w:gridCol w:w="1391"/>
        <w:gridCol w:w="963"/>
        <w:gridCol w:w="1070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стратегия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стратегия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пункт 1</w:t>
            </w:r>
          </w:p>
        </w:tc>
        <w:tc>
          <w:tcPr/>
          <w:p>
            <w:pPr>
              <w:pStyle w:val="Compact"/>
            </w:pPr>
            <w:r>
              <w:t xml:space="preserve">пункт 2</w:t>
            </w:r>
          </w:p>
        </w:tc>
        <w:tc>
          <w:tcPr/>
          <w:p>
            <w:pPr>
              <w:pStyle w:val="Compact"/>
            </w:pPr>
            <w:r>
              <w:t xml:space="preserve">в целом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Поступило автомобилей</w:t>
            </w:r>
          </w:p>
        </w:tc>
        <w:tc>
          <w:tcPr/>
          <w:p>
            <w:pPr>
              <w:pStyle w:val="Compact"/>
            </w:pPr>
            <w:r>
              <w:t xml:space="preserve">2928</w:t>
            </w:r>
          </w:p>
        </w:tc>
        <w:tc>
          <w:tcPr/>
          <w:p>
            <w:pPr>
              <w:pStyle w:val="Compact"/>
            </w:pPr>
            <w:r>
              <w:t xml:space="preserve">2925</w:t>
            </w:r>
          </w:p>
        </w:tc>
        <w:tc>
          <w:tcPr/>
          <w:p>
            <w:pPr>
              <w:pStyle w:val="Compact"/>
            </w:pPr>
            <w:r>
              <w:t xml:space="preserve">5853</w:t>
            </w:r>
          </w:p>
        </w:tc>
        <w:tc>
          <w:tcPr/>
          <w:p>
            <w:pPr>
              <w:pStyle w:val="Compact"/>
            </w:pPr>
            <w:r>
              <w:t xml:space="preserve">5719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Обслужено автомобилей</w:t>
            </w:r>
          </w:p>
        </w:tc>
        <w:tc>
          <w:tcPr/>
          <w:p>
            <w:pPr>
              <w:pStyle w:val="Compact"/>
            </w:pPr>
            <w:r>
              <w:t xml:space="preserve">2540</w:t>
            </w:r>
          </w:p>
        </w:tc>
        <w:tc>
          <w:tcPr/>
          <w:p>
            <w:pPr>
              <w:pStyle w:val="Compact"/>
            </w:pPr>
            <w:r>
              <w:t xml:space="preserve">2536</w:t>
            </w:r>
          </w:p>
        </w:tc>
        <w:tc>
          <w:tcPr/>
          <w:p>
            <w:pPr>
              <w:pStyle w:val="Compact"/>
            </w:pPr>
            <w:r>
              <w:t xml:space="preserve">5076</w:t>
            </w:r>
          </w:p>
        </w:tc>
        <w:tc>
          <w:tcPr/>
          <w:p>
            <w:pPr>
              <w:pStyle w:val="Compact"/>
            </w:pPr>
            <w:r>
              <w:t xml:space="preserve">5049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Коэффициент загрузки</w:t>
            </w:r>
          </w:p>
        </w:tc>
        <w:tc>
          <w:tcPr/>
          <w:p>
            <w:pPr>
              <w:pStyle w:val="Compact"/>
            </w:pPr>
            <w:r>
              <w:t xml:space="preserve">0,997</w:t>
            </w:r>
          </w:p>
        </w:tc>
        <w:tc>
          <w:tcPr/>
          <w:p>
            <w:pPr>
              <w:pStyle w:val="Compact"/>
            </w:pPr>
            <w:r>
              <w:t xml:space="preserve">0,996</w:t>
            </w:r>
          </w:p>
        </w:tc>
        <w:tc>
          <w:tcPr/>
          <w:p>
            <w:pPr>
              <w:pStyle w:val="Compact"/>
            </w:pPr>
            <w:r>
              <w:t xml:space="preserve">0,9965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Максимальная длина очереди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786</w:t>
            </w:r>
          </w:p>
        </w:tc>
        <w:tc>
          <w:tcPr/>
          <w:p>
            <w:pPr>
              <w:pStyle w:val="Compact"/>
            </w:pPr>
            <w:r>
              <w:t xml:space="preserve">668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длина очереди</w:t>
            </w:r>
          </w:p>
        </w:tc>
        <w:tc>
          <w:tcPr/>
          <w:p>
            <w:pPr>
              <w:pStyle w:val="Compact"/>
            </w:pPr>
            <w:r>
              <w:t xml:space="preserve">187,098</w:t>
            </w:r>
          </w:p>
        </w:tc>
        <w:tc>
          <w:tcPr/>
          <w:p>
            <w:pPr>
              <w:pStyle w:val="Compact"/>
            </w:pPr>
            <w:r>
              <w:t xml:space="preserve">187,114</w:t>
            </w:r>
          </w:p>
        </w:tc>
        <w:tc>
          <w:tcPr/>
          <w:p>
            <w:pPr>
              <w:pStyle w:val="Compact"/>
            </w:pPr>
            <w:r>
              <w:t xml:space="preserve">374,212</w:t>
            </w:r>
          </w:p>
        </w:tc>
        <w:tc>
          <w:tcPr/>
          <w:p>
            <w:pPr>
              <w:pStyle w:val="Compact"/>
            </w:pPr>
            <w:r>
              <w:t xml:space="preserve">344,466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время ожидания</w:t>
            </w:r>
          </w:p>
        </w:tc>
        <w:tc>
          <w:tcPr/>
          <w:p>
            <w:pPr>
              <w:pStyle w:val="Compact"/>
            </w:pPr>
            <w:r>
              <w:t xml:space="preserve">644,107</w:t>
            </w:r>
          </w:p>
        </w:tc>
        <w:tc>
          <w:tcPr/>
          <w:p>
            <w:pPr>
              <w:pStyle w:val="Compact"/>
            </w:pPr>
            <w:r>
              <w:t xml:space="preserve">644,823</w:t>
            </w:r>
          </w:p>
        </w:tc>
        <w:tc>
          <w:tcPr/>
          <w:p>
            <w:pPr>
              <w:pStyle w:val="Compact"/>
            </w:pPr>
            <w:r>
              <w:t xml:space="preserve">644,465</w:t>
            </w:r>
          </w:p>
        </w:tc>
        <w:tc>
          <w:tcPr/>
          <w:p>
            <w:pPr>
              <w:pStyle w:val="Compact"/>
            </w:pPr>
            <w:r>
              <w:t xml:space="preserve">607,138</w:t>
            </w:r>
          </w:p>
        </w:tc>
      </w:tr>
    </w:tbl>
    <w:bookmarkEnd w:id="40"/>
    <w:p>
      <w:pPr>
        <w:numPr>
          <w:ilvl w:val="0"/>
          <w:numId w:val="1008"/>
        </w:numPr>
      </w:pPr>
      <w:r>
        <w:t xml:space="preserve">Анализ данных таблицы 1 показывает, что при наличии двух контрольно-пропускных пунктов вторая стратегия демонстрирует более высокую эффективность по сравнению с первой. Это подтверждается ключевыми показателями работы системы.</w:t>
      </w:r>
    </w:p>
    <w:p>
      <w:pPr>
        <w:numPr>
          <w:ilvl w:val="0"/>
          <w:numId w:val="1008"/>
        </w:numPr>
      </w:pPr>
      <w:r>
        <w:t xml:space="preserve">Изменим модели так, чтобы можно было определить оптимальное число пропускных пунктов.</w:t>
      </w:r>
    </w:p>
    <w:p>
      <w:pPr>
        <w:pStyle w:val="FirstParagraph"/>
      </w:pPr>
      <w:r>
        <w:t xml:space="preserve">Рассмотрим 2 стратегию с 1 пропуском.Для такого типа модели код будет следующим (рис. 5):</w:t>
      </w:r>
    </w:p>
    <w:bookmarkStart w:id="44" w:name="fig:005"/>
    <w:p>
      <w:pPr>
        <w:pStyle w:val="CaptionedFigure"/>
      </w:pPr>
      <w:r>
        <w:drawing>
          <wp:inline>
            <wp:extent cx="3733800" cy="2000494"/>
            <wp:effectExtent b="0" l="0" r="0" t="0"/>
            <wp:docPr descr="Рис. 5: Код модели 2 стратегии с 1 пропуском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0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Код модели 2 стратегии с 1 пропуском</w:t>
      </w:r>
    </w:p>
    <w:bookmarkEnd w:id="44"/>
    <w:bookmarkStart w:id="48" w:name="fig:006"/>
    <w:p>
      <w:pPr>
        <w:pStyle w:val="CaptionedFigure"/>
      </w:pPr>
      <w:r>
        <w:drawing>
          <wp:inline>
            <wp:extent cx="3733800" cy="3342219"/>
            <wp:effectExtent b="0" l="0" r="0" t="0"/>
            <wp:docPr descr="Рис. 6: Отчет по 2 стратегии с 1 пропуском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Отчет по 2 стратегии с 1 пропуском</w:t>
      </w:r>
    </w:p>
    <w:bookmarkEnd w:id="48"/>
    <w:p>
      <w:pPr>
        <w:pStyle w:val="BodyText"/>
      </w:pPr>
      <w:r>
        <w:t xml:space="preserve">Теперь также рассмотрим и дальше 2 стратегию, но уже для модели с 3 пропусками (рис. 7):</w:t>
      </w:r>
    </w:p>
    <w:bookmarkStart w:id="52" w:name="fig:007"/>
    <w:p>
      <w:pPr>
        <w:pStyle w:val="CaptionedFigure"/>
      </w:pPr>
      <w:r>
        <w:drawing>
          <wp:inline>
            <wp:extent cx="3733800" cy="2090077"/>
            <wp:effectExtent b="0" l="0" r="0" t="0"/>
            <wp:docPr descr="Рис. 7: Код модели 2 стратегии с 3 пропусками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Код модели 2 стратегии с 3 пропусками</w:t>
      </w:r>
    </w:p>
    <w:bookmarkEnd w:id="52"/>
    <w:p>
      <w:pPr>
        <w:pStyle w:val="BodyText"/>
      </w:pPr>
      <w:r>
        <w:t xml:space="preserve">Отчет для такой модели будет выглядеть следующим образом (рис. 8):</w:t>
      </w:r>
    </w:p>
    <w:bookmarkStart w:id="56" w:name="fig:008"/>
    <w:p>
      <w:pPr>
        <w:pStyle w:val="CaptionedFigure"/>
      </w:pPr>
      <w:r>
        <w:drawing>
          <wp:inline>
            <wp:extent cx="3733800" cy="3972009"/>
            <wp:effectExtent b="0" l="0" r="0" t="0"/>
            <wp:docPr descr="Рис. 8: Отчет по 2 стратегии с 3 пропусками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Отчет по 2 стратегии с 3 пропусками</w:t>
      </w:r>
    </w:p>
    <w:bookmarkEnd w:id="56"/>
    <w:p>
      <w:pPr>
        <w:pStyle w:val="BodyText"/>
      </w:pPr>
      <w:r>
        <w:t xml:space="preserve">Осталось рассмотреть 4 пропуска (рис. 9):</w:t>
      </w:r>
    </w:p>
    <w:bookmarkStart w:id="60" w:name="fig:009"/>
    <w:p>
      <w:pPr>
        <w:pStyle w:val="CaptionedFigure"/>
      </w:pPr>
      <w:r>
        <w:drawing>
          <wp:inline>
            <wp:extent cx="3733800" cy="2027531"/>
            <wp:effectExtent b="0" l="0" r="0" t="0"/>
            <wp:docPr descr="Рис. 9: Код модели 2 стратегии с 4 пропусками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7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Код модели 2 стратегии с 4 пропусками</w:t>
      </w:r>
    </w:p>
    <w:bookmarkEnd w:id="60"/>
    <w:bookmarkStart w:id="64" w:name="fig:010"/>
    <w:p>
      <w:pPr>
        <w:pStyle w:val="CaptionedFigure"/>
      </w:pPr>
      <w:r>
        <w:drawing>
          <wp:inline>
            <wp:extent cx="3733800" cy="3896595"/>
            <wp:effectExtent b="0" l="0" r="0" t="0"/>
            <wp:docPr descr="Рис. 10: Отчет по 2 стратегии с 4 пропусками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6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Отчет по 2 стратегии с 4 пропусками</w:t>
      </w:r>
    </w:p>
    <w:bookmarkEnd w:id="64"/>
    <w:p>
      <w:pPr>
        <w:pStyle w:val="BodyText"/>
      </w:pPr>
      <w:r>
        <w:t xml:space="preserve">Аналогично нужно рассмотреть и для модели 1 стратегии:</w:t>
      </w:r>
    </w:p>
    <w:p>
      <w:pPr>
        <w:pStyle w:val="Compact"/>
        <w:numPr>
          <w:ilvl w:val="0"/>
          <w:numId w:val="1009"/>
        </w:numPr>
      </w:pPr>
      <w:r>
        <w:t xml:space="preserve">Для 3 пропусков (рис. 11):</w:t>
      </w:r>
    </w:p>
    <w:bookmarkStart w:id="68" w:name="fig:011"/>
    <w:p>
      <w:pPr>
        <w:pStyle w:val="CaptionedFigure"/>
      </w:pPr>
      <w:r>
        <w:drawing>
          <wp:inline>
            <wp:extent cx="3609473" cy="4581625"/>
            <wp:effectExtent b="0" l="0" r="0" t="0"/>
            <wp:docPr descr="Рис. 11: Код модели 1 стратегии с 3 пропусками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473" cy="458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Код модели 1 стратегии с 3 пропусками</w:t>
      </w:r>
    </w:p>
    <w:bookmarkEnd w:id="68"/>
    <w:bookmarkStart w:id="72" w:name="fig:012"/>
    <w:p>
      <w:pPr>
        <w:pStyle w:val="CaptionedFigure"/>
      </w:pPr>
      <w:r>
        <w:drawing>
          <wp:inline>
            <wp:extent cx="3733800" cy="4039849"/>
            <wp:effectExtent b="0" l="0" r="0" t="0"/>
            <wp:docPr descr="Рис. 12: Отчет по 1 стратегии с 3 пропусками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9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Отчет по 1 стратегии с 3 пропусками</w:t>
      </w:r>
    </w:p>
    <w:bookmarkEnd w:id="72"/>
    <w:p>
      <w:pPr>
        <w:pStyle w:val="Compact"/>
        <w:numPr>
          <w:ilvl w:val="0"/>
          <w:numId w:val="1010"/>
        </w:numPr>
      </w:pPr>
      <w:r>
        <w:t xml:space="preserve">Для 4 пропусков (рис. 13):</w:t>
      </w:r>
    </w:p>
    <w:bookmarkStart w:id="76" w:name="fig:013"/>
    <w:p>
      <w:pPr>
        <w:pStyle w:val="CaptionedFigure"/>
      </w:pPr>
      <w:r>
        <w:drawing>
          <wp:inline>
            <wp:extent cx="3733800" cy="5751330"/>
            <wp:effectExtent b="0" l="0" r="0" t="0"/>
            <wp:docPr descr="Рис. 13: Код модели 1 стратегии с 4 пропусками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51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Код модели 1 стратегии с 4 пропусками</w:t>
      </w:r>
    </w:p>
    <w:bookmarkEnd w:id="76"/>
    <w:bookmarkStart w:id="80" w:name="fig:014"/>
    <w:p>
      <w:pPr>
        <w:pStyle w:val="CaptionedFigure"/>
      </w:pPr>
      <w:r>
        <w:drawing>
          <wp:inline>
            <wp:extent cx="3733800" cy="5055404"/>
            <wp:effectExtent b="0" l="0" r="0" t="0"/>
            <wp:docPr descr="Рис. 14: Отчет по 1 стратегии с 4 пропусками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55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Отчет по 1 стратегии с 4 пропусками</w:t>
      </w:r>
    </w:p>
    <w:bookmarkEnd w:id="80"/>
    <w:bookmarkStart w:id="81" w:name="tbl:strategy_punkts"/>
    <w:p>
      <w:pPr>
        <w:pStyle w:val="TableCaption"/>
      </w:pPr>
      <w:r>
        <w:t xml:space="preserve">Таблица 2: Сравнение стратегий с пунктами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: Сравнение стратегий с пунктами"/>
      </w:tblPr>
      <w:tblGrid>
        <w:gridCol w:w="1827"/>
        <w:gridCol w:w="609"/>
        <w:gridCol w:w="913"/>
        <w:gridCol w:w="913"/>
        <w:gridCol w:w="913"/>
        <w:gridCol w:w="913"/>
        <w:gridCol w:w="913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1 п.</w:t>
            </w:r>
          </w:p>
        </w:tc>
        <w:tc>
          <w:tcPr/>
          <w:p>
            <w:pPr>
              <w:pStyle w:val="Compact"/>
            </w:pPr>
            <w:r>
              <w:t xml:space="preserve">С1, 2п.</w:t>
            </w:r>
          </w:p>
        </w:tc>
        <w:tc>
          <w:tcPr/>
          <w:p>
            <w:pPr>
              <w:pStyle w:val="Compact"/>
            </w:pPr>
            <w:r>
              <w:t xml:space="preserve">С2, 2п.</w:t>
            </w:r>
          </w:p>
        </w:tc>
        <w:tc>
          <w:tcPr/>
          <w:p>
            <w:pPr>
              <w:pStyle w:val="Compact"/>
            </w:pPr>
            <w:r>
              <w:t xml:space="preserve">С1, 3п.</w:t>
            </w:r>
          </w:p>
        </w:tc>
        <w:tc>
          <w:tcPr/>
          <w:p>
            <w:pPr>
              <w:pStyle w:val="Compact"/>
            </w:pPr>
            <w:r>
              <w:t xml:space="preserve">С2, 3п.</w:t>
            </w:r>
          </w:p>
        </w:tc>
        <w:tc>
          <w:tcPr/>
          <w:p>
            <w:pPr>
              <w:pStyle w:val="Compact"/>
            </w:pPr>
            <w:r>
              <w:t xml:space="preserve">С1, 4п.</w:t>
            </w:r>
          </w:p>
        </w:tc>
        <w:tc>
          <w:tcPr/>
          <w:p>
            <w:pPr>
              <w:pStyle w:val="Compact"/>
            </w:pPr>
            <w:r>
              <w:t xml:space="preserve">С2, 4п.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0.9965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0.752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0.5675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 в очереди</w:t>
            </w:r>
          </w:p>
        </w:tc>
        <w:tc>
          <w:tcPr/>
          <w:p>
            <w:pPr>
              <w:pStyle w:val="Compact"/>
            </w:pPr>
            <w:r>
              <w:t xml:space="preserve">1618</w:t>
            </w:r>
          </w:p>
        </w:tc>
        <w:tc>
          <w:tcPr/>
          <w:p>
            <w:pPr>
              <w:pStyle w:val="Compact"/>
            </w:pPr>
            <w:r>
              <w:t xml:space="preserve">376.2</w:t>
            </w:r>
          </w:p>
        </w:tc>
        <w:tc>
          <w:tcPr/>
          <w:p>
            <w:pPr>
              <w:pStyle w:val="Compact"/>
            </w:pPr>
            <w:r>
              <w:t xml:space="preserve">346.4</w:t>
            </w:r>
          </w:p>
        </w:tc>
        <w:tc>
          <w:tcPr/>
          <w:p>
            <w:pPr>
              <w:pStyle w:val="Compact"/>
            </w:pPr>
            <w:r>
              <w:t xml:space="preserve">4.172</w:t>
            </w:r>
          </w:p>
        </w:tc>
        <w:tc>
          <w:tcPr/>
          <w:p>
            <w:pPr>
              <w:pStyle w:val="Compact"/>
            </w:pPr>
            <w:r>
              <w:t xml:space="preserve">3.306</w:t>
            </w:r>
          </w:p>
        </w:tc>
        <w:tc>
          <w:tcPr/>
          <w:p>
            <w:pPr>
              <w:pStyle w:val="Compact"/>
            </w:pPr>
            <w:r>
              <w:t xml:space="preserve">3.36</w:t>
            </w:r>
          </w:p>
        </w:tc>
        <w:tc>
          <w:tcPr/>
          <w:p>
            <w:pPr>
              <w:pStyle w:val="Compact"/>
            </w:pPr>
            <w:r>
              <w:t xml:space="preserve">2.447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ожидания</w:t>
            </w:r>
          </w:p>
        </w:tc>
        <w:tc>
          <w:tcPr/>
          <w:p>
            <w:pPr>
              <w:pStyle w:val="Compact"/>
            </w:pPr>
            <w:r>
              <w:t xml:space="preserve">2838</w:t>
            </w:r>
          </w:p>
        </w:tc>
        <w:tc>
          <w:tcPr/>
          <w:p>
            <w:pPr>
              <w:pStyle w:val="Compact"/>
            </w:pPr>
            <w:r>
              <w:t xml:space="preserve">644.5</w:t>
            </w:r>
          </w:p>
        </w:tc>
        <w:tc>
          <w:tcPr/>
          <w:p>
            <w:pPr>
              <w:pStyle w:val="Compact"/>
            </w:pPr>
            <w:r>
              <w:t xml:space="preserve">607.1</w:t>
            </w:r>
          </w:p>
        </w:tc>
        <w:tc>
          <w:tcPr/>
          <w:p>
            <w:pPr>
              <w:pStyle w:val="Compact"/>
            </w:pPr>
            <w:r>
              <w:t xml:space="preserve">3.354</w:t>
            </w:r>
          </w:p>
        </w:tc>
        <w:tc>
          <w:tcPr/>
          <w:p>
            <w:pPr>
              <w:pStyle w:val="Compact"/>
            </w:pPr>
            <w:r>
              <w:t xml:space="preserve">1.885</w:t>
            </w:r>
          </w:p>
        </w:tc>
        <w:tc>
          <w:tcPr/>
          <w:p>
            <w:pPr>
              <w:pStyle w:val="Compact"/>
            </w:pPr>
            <w:r>
              <w:t xml:space="preserve">1.923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</w:tr>
    </w:tbl>
    <w:bookmarkEnd w:id="81"/>
    <w:p>
      <w:pPr>
        <w:pStyle w:val="BodyText"/>
      </w:pPr>
      <w:r>
        <w:t xml:space="preserve">На основании проведённого 2 моделирования можно сделать следующие выводы: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Эффективность стратегий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Стратегия 2 демонстрирует лучшие показатели по сравнению со Стратегией 1, особенно в сокращении среднего времени ожидания. Например, при использовании 4 пунктов пропуска время ожидания уменьшается до 0.341 минуты, что в 5 раз меньше, чем у Стратегии 1 (1.923 минуты).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Оптимальное количество пунктов пропуска</w:t>
      </w:r>
      <w:r>
        <w:t xml:space="preserve">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4 пункта</w:t>
      </w:r>
      <w:r>
        <w:t xml:space="preserve">: Обе стратегии с 4 пунктами соответствуют критериям задания, обеспечивая низкий коэффициент загрузки и минимальное время ожидания.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 пункта</w:t>
      </w:r>
      <w:r>
        <w:t xml:space="preserve">: Только Стратегия 2 с 3 пунктами показывает приемлемые результаты, близкие к варианту с 4 пунктами.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Выбор стратегии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Окончательное решение зависит от конкретных условий работы системы. Если приоритетом является максимальное сокращение времени ожидания, рекомендуется выбрать Стратегию 2 с 4 пунктами. Для баланса между ресурсами и эффективностью можно рассмотреть Стратегию 2 с 3 пунктами.</w:t>
      </w:r>
    </w:p>
    <w:bookmarkEnd w:id="82"/>
    <w:bookmarkStart w:id="83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изучила приципы работы GPSS для реализации моделей двух стратегий обслуживания.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16. Задачи оптимизации. Модель двух стратегий обслуживания</dc:title>
  <dc:creator>Абакумова Олеся Максимовна, НФИбд-02-22</dc:creator>
  <dc:language>ru-RU</dc:language>
  <cp:keywords/>
  <dcterms:created xsi:type="dcterms:W3CDTF">2025-05-24T20:17:04Z</dcterms:created>
  <dcterms:modified xsi:type="dcterms:W3CDTF">2025-05-24T20:17:04Z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