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7. Модель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  <m:r>
          <m:rPr>
            <m:sty m:val="p"/>
          </m:rPr>
          <m:t>|</m:t>
        </m:r>
        <m:r>
          <m:rPr>
            <m:sty m:val="p"/>
          </m:rPr>
          <m:t>∞</m:t>
        </m:r>
      </m:oMath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Используя xcos, реализовать модель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  <m:r>
          <m:rPr>
            <m:sty m:val="p"/>
          </m:rPr>
          <m:t>|</m:t>
        </m:r>
        <m:r>
          <m:rPr>
            <m:sty m:val="p"/>
          </m:rPr>
          <m:t>∞</m:t>
        </m:r>
      </m:oMath>
      <w:r>
        <w:t xml:space="preserve">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  <m:r>
          <m:rPr>
            <m:sty m:val="p"/>
          </m:rPr>
          <m:t>|</m:t>
        </m:r>
        <m:r>
          <m:rPr>
            <m:sty m:val="p"/>
          </m:rPr>
          <m:t>∞</m:t>
        </m:r>
      </m:oMath>
      <w:r>
        <w:t xml:space="preserve"> </w:t>
      </w:r>
      <w:r>
        <w:t xml:space="preserve">в xcos с использованием суперблоков.</w:t>
      </w:r>
    </w:p>
    <w:bookmarkEnd w:id="21"/>
    <w:bookmarkStart w:id="4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6" w:name="реализация-модели-в-xco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модели в xcos</w:t>
      </w:r>
    </w:p>
    <w:p>
      <w:pPr>
        <w:pStyle w:val="FirstParagraph"/>
      </w:pPr>
      <w:r>
        <w:t xml:space="preserve">Рассмотрим пример моделирования в xcos системы массового обслуживания типа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  <m:r>
          <m:rPr>
            <m:sty m:val="p"/>
          </m:rPr>
          <m:t>|</m:t>
        </m:r>
        <m:r>
          <m:rPr>
            <m:sty m:val="p"/>
          </m:rPr>
          <m:t>∞</m:t>
        </m:r>
      </m:oMath>
      <w:r>
        <w:t xml:space="preserve">. Зафиксируем начальные данные: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0.3,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= 0.35,</w:t>
      </w:r>
      <w:r>
        <w:t xml:space="preserve"> </w:t>
      </w:r>
      <m:oMath>
        <m:r>
          <m:t>z</m:t>
        </m:r>
        <m:r>
          <m:t>0</m:t>
        </m:r>
      </m:oMath>
      <w:r>
        <w:t xml:space="preserve"> </w:t>
      </w:r>
      <w:r>
        <w:t xml:space="preserve">= 6(рис. 1):</w:t>
      </w:r>
    </w:p>
    <w:bookmarkStart w:id="25" w:name="fig:001"/>
    <w:p>
      <w:pPr>
        <w:pStyle w:val="CaptionedFigure"/>
      </w:pPr>
      <w:r>
        <w:drawing>
          <wp:inline>
            <wp:extent cx="3733800" cy="2595349"/>
            <wp:effectExtent b="0" l="0" r="0" t="0"/>
            <wp:docPr descr="Рис. 1: Установка контекст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5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контекста</w:t>
      </w:r>
    </w:p>
    <w:bookmarkEnd w:id="25"/>
    <w:p>
      <w:pPr>
        <w:pStyle w:val="BodyText"/>
      </w:pPr>
      <w:r>
        <w:t xml:space="preserve">Теперь реализуем cуперблок, моделирующий поступление заявок (рис. 2):</w:t>
      </w:r>
    </w:p>
    <w:bookmarkStart w:id="29" w:name="fig:002"/>
    <w:p>
      <w:pPr>
        <w:pStyle w:val="CaptionedFigure"/>
      </w:pPr>
      <w:r>
        <w:drawing>
          <wp:inline>
            <wp:extent cx="3733800" cy="3065914"/>
            <wp:effectExtent b="0" l="0" r="0" t="0"/>
            <wp:docPr descr="Рис. 2: Суперблок, моделирующий поступление заявок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5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Суперблок, моделирующий поступление заявок</w:t>
      </w:r>
    </w:p>
    <w:bookmarkEnd w:id="29"/>
    <w:p>
      <w:pPr>
        <w:pStyle w:val="BodyText"/>
      </w:pPr>
      <w:r>
        <w:t xml:space="preserve">Аналогичным образом настроим суперблок для обработки заявок (рис. 3):</w:t>
      </w:r>
    </w:p>
    <w:bookmarkStart w:id="33" w:name="fig:003"/>
    <w:p>
      <w:pPr>
        <w:pStyle w:val="CaptionedFigure"/>
      </w:pPr>
      <w:r>
        <w:drawing>
          <wp:inline>
            <wp:extent cx="3733800" cy="3446142"/>
            <wp:effectExtent b="0" l="0" r="0" t="0"/>
            <wp:docPr descr="Рис. 3: Суперблок, моделирующий обработку заявок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6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Суперблок, моделирующий обработку заявок</w:t>
      </w:r>
    </w:p>
    <w:bookmarkEnd w:id="33"/>
    <w:p>
      <w:pPr>
        <w:pStyle w:val="BodyText"/>
      </w:pPr>
      <w:r>
        <w:t xml:space="preserve">Суперблоки можно реализовать,либо взяв нужный блок из палитры,либо реализовав в пространстве модель для него и позже объединить это в суперблок.В моем случае я сначала реализовала для каждого супеоблока схему из блоков,а потом объединила их в суперблоки, настроив соединения непосредственно уже в самом суперблоке.</w:t>
      </w:r>
    </w:p>
    <w:p>
      <w:pPr>
        <w:pStyle w:val="BodyText"/>
      </w:pPr>
      <w:r>
        <w:t xml:space="preserve">Сама итоговая модель массового обслуживания с суперблоками будет выглядеть следующим образом (рис. 4):</w:t>
      </w:r>
    </w:p>
    <w:bookmarkStart w:id="37" w:name="fig:004"/>
    <w:p>
      <w:pPr>
        <w:pStyle w:val="CaptionedFigure"/>
      </w:pPr>
      <w:r>
        <w:drawing>
          <wp:inline>
            <wp:extent cx="3733800" cy="3223689"/>
            <wp:effectExtent b="0" l="0" r="0" t="0"/>
            <wp:docPr descr="Рис. 4: Модель M |M |1|∞ в xcos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3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Модель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  <m:r>
          <m:rPr>
            <m:sty m:val="p"/>
          </m:rPr>
          <m:t>|</m:t>
        </m:r>
        <m:r>
          <m:rPr>
            <m:sty m:val="p"/>
          </m:rPr>
          <m:t>∞</m:t>
        </m:r>
      </m:oMath>
      <w:r>
        <w:t xml:space="preserve"> </w:t>
      </w:r>
      <w:r>
        <w:t xml:space="preserve">в xcos</w:t>
      </w:r>
    </w:p>
    <w:bookmarkEnd w:id="37"/>
    <w:p>
      <w:pPr>
        <w:pStyle w:val="BodyText"/>
      </w:pPr>
      <w:r>
        <w:t xml:space="preserve">После запуска мы получаем следующие результаты (рис. 5):</w:t>
      </w:r>
    </w:p>
    <w:bookmarkStart w:id="41" w:name="fig:005"/>
    <w:p>
      <w:pPr>
        <w:pStyle w:val="CaptionedFigure"/>
      </w:pPr>
      <w:r>
        <w:drawing>
          <wp:inline>
            <wp:extent cx="4533900" cy="2208703"/>
            <wp:effectExtent b="0" l="0" r="0" t="0"/>
            <wp:docPr descr="Рис. 5: Поступление ( — ) и обработка (– · · – ) заявок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08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Поступление ( — ) и обработка (– · · – ) заявок</w:t>
      </w:r>
    </w:p>
    <w:bookmarkEnd w:id="41"/>
    <w:bookmarkStart w:id="45" w:name="fig:006"/>
    <w:p>
      <w:pPr>
        <w:pStyle w:val="CaptionedFigure"/>
      </w:pPr>
      <w:r>
        <w:drawing>
          <wp:inline>
            <wp:extent cx="4533900" cy="2180745"/>
            <wp:effectExtent b="0" l="0" r="0" t="0"/>
            <wp:docPr descr="Рис. 6: Динамика размера очереди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80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Динамика размера очереди</w:t>
      </w:r>
    </w:p>
    <w:bookmarkEnd w:id="45"/>
    <w:bookmarkEnd w:id="46"/>
    <w:bookmarkEnd w:id="47"/>
    <w:bookmarkStart w:id="4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данной лабораторной работы я реализовала модель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  <m:r>
          <m:rPr>
            <m:sty m:val="p"/>
          </m:rPr>
          <m:t>|</m:t>
        </m:r>
        <m:r>
          <m:rPr>
            <m:sty m:val="p"/>
          </m:rPr>
          <m:t>∞</m:t>
        </m:r>
      </m:oMath>
      <w:r>
        <w:t xml:space="preserve"> </w:t>
      </w:r>
      <w:r>
        <w:t xml:space="preserve">в xcos с использованием суперблоков.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7. Модель M |M |1|∞</dc:title>
  <dc:creator>Абакумова Олеся Максимовна, НФИбд-02-22</dc:creator>
  <dc:language>ru-RU</dc:language>
  <cp:keywords/>
  <dcterms:created xsi:type="dcterms:W3CDTF">2025-03-21T11:48:58Z</dcterms:created>
  <dcterms:modified xsi:type="dcterms:W3CDTF">2025-03-21T11:48:58Z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