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15. Модели обслуживания с приоритетами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принципы работы GPSS для реализации моделей обслуживания с приоритетами.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различные модели обслуживания с приоритетами с помощью GPSS и проанализировать результаты симуляции.</w:t>
      </w:r>
    </w:p>
    <w:bookmarkEnd w:id="21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2" w:name="модель-обслуживания-механиков-на-складе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Модель обслуживания механиков на складе</w:t>
      </w:r>
    </w:p>
    <w:bookmarkStart w:id="22" w:name="постановка-задачи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На фабрике на складе работает один кладовщик, который выдает запасные части</w:t>
      </w:r>
      <w:r>
        <w:t xml:space="preserve"> </w:t>
      </w:r>
      <w:r>
        <w:t xml:space="preserve">механикам, обслуживающим станки. Время, необходимое для удовлетворения запроса, зависит от типа запасной части. Запросы бывают двух категорий. Для первой</w:t>
      </w:r>
      <w:r>
        <w:t xml:space="preserve"> </w:t>
      </w:r>
      <w:r>
        <w:t xml:space="preserve">категории интервалы времени прихода механиков 420 ± 360 сек., время обслуживания — 300 ± 90 сек. Для второй категории интервалы времени прихода механиков</w:t>
      </w:r>
      <w:r>
        <w:t xml:space="preserve"> </w:t>
      </w:r>
      <w:r>
        <w:t xml:space="preserve">360 ± 240 сек., время обслуживания — 100 ± 30 сек.</w:t>
      </w:r>
      <w:r>
        <w:t xml:space="preserve"> </w:t>
      </w:r>
      <w:r>
        <w:t xml:space="preserve">Порядок обслуживания механиков кладовщиком такой: запросы первой категории</w:t>
      </w:r>
      <w:r>
        <w:t xml:space="preserve"> </w:t>
      </w:r>
      <w:r>
        <w:t xml:space="preserve">обслуживаются только в том случае, когда в очереди нет ни одного запроса второй</w:t>
      </w:r>
      <w:r>
        <w:t xml:space="preserve"> </w:t>
      </w:r>
      <w:r>
        <w:t xml:space="preserve">категории. Внутри одной категории дисциплина обслуживания — «первым пришел —</w:t>
      </w:r>
      <w:r>
        <w:t xml:space="preserve"> </w:t>
      </w:r>
      <w:r>
        <w:t xml:space="preserve">первым обслужился». Необходимо создать модель работы кладовой, моделирование</w:t>
      </w:r>
      <w:r>
        <w:t xml:space="preserve"> </w:t>
      </w:r>
      <w:r>
        <w:t xml:space="preserve">выполнять в течение восьмичасового рабочего дня.</w:t>
      </w:r>
    </w:p>
    <w:bookmarkEnd w:id="22"/>
    <w:bookmarkStart w:id="31" w:name="построение-модели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Есть два различных типа заявок, поступающих на обслуживание к одному устройству. Различаются распределения интервалов приходов и времени обслуживания</w:t>
      </w:r>
      <w:r>
        <w:t xml:space="preserve"> </w:t>
      </w:r>
      <w:r>
        <w:t xml:space="preserve">для этих типов заявок. Приоритеты запросов задаются путем использования для</w:t>
      </w:r>
      <w:r>
        <w:t xml:space="preserve"> </w:t>
      </w:r>
      <w:r>
        <w:t xml:space="preserve">операнда E блока GENERATE запросов второй категории большего значения, чем для</w:t>
      </w:r>
      <w:r>
        <w:t xml:space="preserve"> </w:t>
      </w:r>
      <w:r>
        <w:t xml:space="preserve">запросов первой категории.Модель с сегментом моделирования таймера можно представить следующим образом (рис. 1):</w:t>
      </w:r>
    </w:p>
    <w:bookmarkStart w:id="26" w:name="fig:001"/>
    <w:p>
      <w:pPr>
        <w:pStyle w:val="CaptionedFigure"/>
      </w:pPr>
      <w:r>
        <w:drawing>
          <wp:inline>
            <wp:extent cx="1992429" cy="3493970"/>
            <wp:effectExtent b="0" l="0" r="0" t="0"/>
            <wp:docPr descr="Рис. 1: Код модели обслуживания механиков на складе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429" cy="3493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 модели обслуживания механиков на складе</w:t>
      </w:r>
    </w:p>
    <w:bookmarkEnd w:id="26"/>
    <w:p>
      <w:pPr>
        <w:pStyle w:val="BodyText"/>
      </w:pPr>
      <w:r>
        <w:t xml:space="preserve">После запуска симуляции получаем отчет (рис. 2):</w:t>
      </w:r>
    </w:p>
    <w:bookmarkStart w:id="30" w:name="fig:002"/>
    <w:p>
      <w:pPr>
        <w:pStyle w:val="CaptionedFigure"/>
      </w:pPr>
      <w:r>
        <w:drawing>
          <wp:inline>
            <wp:extent cx="3733800" cy="4419925"/>
            <wp:effectExtent b="0" l="0" r="0" t="0"/>
            <wp:docPr descr="Рис. 2: Отчёт по модели обслуживания механиков с приоритетам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1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Отчёт по модели обслуживания механиков с приоритетами</w:t>
      </w:r>
    </w:p>
    <w:bookmarkEnd w:id="30"/>
    <w:p>
      <w:pPr>
        <w:pStyle w:val="BodyText"/>
      </w:pPr>
      <w:r>
        <w:t xml:space="preserve">В ходе моделирования были получены следующие данные: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Общие параметры системы:</w:t>
      </w:r>
    </w:p>
    <w:p>
      <w:pPr>
        <w:numPr>
          <w:ilvl w:val="1"/>
          <w:numId w:val="1003"/>
        </w:numPr>
      </w:pPr>
      <w:r>
        <w:t xml:space="preserve">Использовано:</w:t>
      </w:r>
      <w:r>
        <w:t xml:space="preserve"> </w:t>
      </w:r>
      <w:r>
        <w:rPr>
          <w:b/>
          <w:bCs/>
        </w:rPr>
        <w:t xml:space="preserve">16 блоков</w:t>
      </w:r>
    </w:p>
    <w:p>
      <w:pPr>
        <w:numPr>
          <w:ilvl w:val="1"/>
          <w:numId w:val="1003"/>
        </w:numPr>
      </w:pPr>
      <w:r>
        <w:t xml:space="preserve">Всего сгенерировано заявок:</w:t>
      </w:r>
      <w:r>
        <w:t xml:space="preserve"> </w:t>
      </w:r>
      <w:r>
        <w:rPr>
          <w:b/>
          <w:bCs/>
        </w:rPr>
        <w:t xml:space="preserve">154</w:t>
      </w:r>
      <w:r>
        <w:t xml:space="preserve"> </w:t>
      </w:r>
      <w:r>
        <w:t xml:space="preserve">(71 — тип 1, 83 — тип 2)</w:t>
      </w:r>
    </w:p>
    <w:p>
      <w:pPr>
        <w:numPr>
          <w:ilvl w:val="1"/>
          <w:numId w:val="1003"/>
        </w:numPr>
      </w:pPr>
      <w:r>
        <w:t xml:space="preserve">Обслужено заявок:</w:t>
      </w:r>
      <w:r>
        <w:t xml:space="preserve"> </w:t>
      </w:r>
      <w:r>
        <w:rPr>
          <w:b/>
          <w:bCs/>
        </w:rPr>
        <w:t xml:space="preserve">145</w:t>
      </w:r>
      <w:r>
        <w:t xml:space="preserve"> </w:t>
      </w:r>
      <w:r>
        <w:t xml:space="preserve">(64 — тип 1, 81 — тип 2)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Статистика очередей: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Для заявок типа 1:</w:t>
      </w:r>
    </w:p>
    <w:p>
      <w:pPr>
        <w:numPr>
          <w:ilvl w:val="1"/>
          <w:numId w:val="1004"/>
        </w:numPr>
      </w:pPr>
      <w:r>
        <w:t xml:space="preserve">Ожидало в очереди:</w:t>
      </w:r>
      <w:r>
        <w:t xml:space="preserve"> </w:t>
      </w:r>
      <w:r>
        <w:rPr>
          <w:b/>
          <w:bCs/>
        </w:rPr>
        <w:t xml:space="preserve">67</w:t>
      </w:r>
    </w:p>
    <w:p>
      <w:pPr>
        <w:numPr>
          <w:ilvl w:val="1"/>
          <w:numId w:val="1004"/>
        </w:numPr>
      </w:pPr>
      <w:r>
        <w:t xml:space="preserve">Осталось в очереди на момент завершения:</w:t>
      </w:r>
      <w:r>
        <w:t xml:space="preserve"> </w:t>
      </w:r>
      <w:r>
        <w:rPr>
          <w:b/>
          <w:bCs/>
        </w:rPr>
        <w:t xml:space="preserve">6</w:t>
      </w:r>
    </w:p>
    <w:p>
      <w:pPr>
        <w:numPr>
          <w:ilvl w:val="1"/>
          <w:numId w:val="1004"/>
        </w:numPr>
      </w:pPr>
      <w:r>
        <w:t xml:space="preserve">Максимальная длина очереди:</w:t>
      </w:r>
      <w:r>
        <w:t xml:space="preserve"> </w:t>
      </w:r>
      <w:r>
        <w:rPr>
          <w:b/>
          <w:bCs/>
        </w:rPr>
        <w:t xml:space="preserve">8</w:t>
      </w:r>
    </w:p>
    <w:p>
      <w:pPr>
        <w:numPr>
          <w:ilvl w:val="1"/>
          <w:numId w:val="1004"/>
        </w:numPr>
      </w:pPr>
      <w:r>
        <w:t xml:space="preserve">Заявок, прошедших без очереди:</w:t>
      </w:r>
      <w:r>
        <w:t xml:space="preserve"> </w:t>
      </w:r>
      <w:r>
        <w:rPr>
          <w:b/>
          <w:bCs/>
        </w:rPr>
        <w:t xml:space="preserve">4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Для заявок типа 2:</w:t>
      </w:r>
    </w:p>
    <w:p>
      <w:pPr>
        <w:numPr>
          <w:ilvl w:val="1"/>
          <w:numId w:val="1004"/>
        </w:numPr>
      </w:pPr>
      <w:r>
        <w:t xml:space="preserve">Ожидало в очереди:</w:t>
      </w:r>
      <w:r>
        <w:t xml:space="preserve"> </w:t>
      </w:r>
      <w:r>
        <w:rPr>
          <w:b/>
          <w:bCs/>
        </w:rPr>
        <w:t xml:space="preserve">81</w:t>
      </w:r>
    </w:p>
    <w:p>
      <w:pPr>
        <w:numPr>
          <w:ilvl w:val="1"/>
          <w:numId w:val="1004"/>
        </w:numPr>
      </w:pPr>
      <w:r>
        <w:t xml:space="preserve">Осталось в очереди на момент завершения:</w:t>
      </w:r>
      <w:r>
        <w:t xml:space="preserve"> </w:t>
      </w:r>
      <w:r>
        <w:rPr>
          <w:b/>
          <w:bCs/>
        </w:rPr>
        <w:t xml:space="preserve">2</w:t>
      </w:r>
    </w:p>
    <w:p>
      <w:pPr>
        <w:numPr>
          <w:ilvl w:val="1"/>
          <w:numId w:val="1004"/>
        </w:numPr>
      </w:pPr>
      <w:r>
        <w:t xml:space="preserve">Максимальная длина очереди:</w:t>
      </w:r>
      <w:r>
        <w:t xml:space="preserve"> </w:t>
      </w:r>
      <w:r>
        <w:rPr>
          <w:b/>
          <w:bCs/>
        </w:rPr>
        <w:t xml:space="preserve">3</w:t>
      </w:r>
    </w:p>
    <w:p>
      <w:pPr>
        <w:numPr>
          <w:ilvl w:val="1"/>
          <w:numId w:val="1004"/>
        </w:numPr>
      </w:pPr>
      <w:r>
        <w:t xml:space="preserve">Заявок, прошедших без очереди:</w:t>
      </w:r>
      <w:r>
        <w:t xml:space="preserve"> </w:t>
      </w:r>
      <w:r>
        <w:rPr>
          <w:b/>
          <w:bCs/>
        </w:rPr>
        <w:t xml:space="preserve">2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Дополнительные метрики:</w:t>
      </w:r>
    </w:p>
    <w:p>
      <w:pPr>
        <w:numPr>
          <w:ilvl w:val="1"/>
          <w:numId w:val="1005"/>
        </w:numPr>
      </w:pPr>
      <w:r>
        <w:t xml:space="preserve">Среднее время обслуживания:</w:t>
      </w:r>
      <w:r>
        <w:t xml:space="preserve"> </w:t>
      </w:r>
      <w:r>
        <w:rPr>
          <w:b/>
          <w:bCs/>
        </w:rPr>
        <w:t xml:space="preserve">190.733</w:t>
      </w:r>
    </w:p>
    <w:p>
      <w:pPr>
        <w:numPr>
          <w:ilvl w:val="1"/>
          <w:numId w:val="1005"/>
        </w:numPr>
      </w:pPr>
      <w:r>
        <w:t xml:space="preserve">На момент завершения моделирования на приборе оставалась</w:t>
      </w:r>
      <w:r>
        <w:t xml:space="preserve"> </w:t>
      </w:r>
      <w:r>
        <w:rPr>
          <w:b/>
          <w:bCs/>
        </w:rPr>
        <w:t xml:space="preserve">1 заявка типа 1</w:t>
      </w:r>
      <w:r>
        <w:t xml:space="preserve">.</w:t>
      </w:r>
    </w:p>
    <w:bookmarkEnd w:id="31"/>
    <w:bookmarkEnd w:id="32"/>
    <w:bookmarkStart w:id="47" w:name="Xf2c53700e2ed52c994f143e6374ea902f84194b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обслуживания в порту судов двух типов</w:t>
      </w:r>
    </w:p>
    <w:bookmarkStart w:id="33" w:name="постановка-задачи-1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Морские суда двух типов прибывают в порт, где происходит их разгрузка. В порту</w:t>
      </w:r>
      <w:r>
        <w:t xml:space="preserve"> </w:t>
      </w:r>
      <w:r>
        <w:t xml:space="preserve">есть два буксира, обеспечивающих ввод и вывод кораблей из порта. К первому</w:t>
      </w:r>
      <w:r>
        <w:t xml:space="preserve"> </w:t>
      </w:r>
      <w:r>
        <w:t xml:space="preserve">типу судов относятся корабли малого тоннажа, которые требуют использования</w:t>
      </w:r>
      <w:r>
        <w:t xml:space="preserve"> </w:t>
      </w:r>
      <w:r>
        <w:t xml:space="preserve">одного буксира. Корабли второго типа имеют большие размеры, и для их ввода</w:t>
      </w:r>
      <w:r>
        <w:t xml:space="preserve"> </w:t>
      </w:r>
      <w:r>
        <w:t xml:space="preserve">и вывода из порта требуется два буксира. Из-за различия размеров двух типов</w:t>
      </w:r>
      <w:r>
        <w:t xml:space="preserve"> </w:t>
      </w:r>
      <w:r>
        <w:t xml:space="preserve">кораблей необходимы и причалы различного размера. Кроме того, корабли имеют</w:t>
      </w:r>
      <w:r>
        <w:t xml:space="preserve"> </w:t>
      </w:r>
      <w:r>
        <w:t xml:space="preserve">различное время погрузки/разгрузки.</w:t>
      </w:r>
    </w:p>
    <w:p>
      <w:pPr>
        <w:pStyle w:val="BodyText"/>
      </w:pPr>
      <w:r>
        <w:t xml:space="preserve">Требуется построить модель системы, в которой можно оценить время ожидания</w:t>
      </w:r>
      <w:r>
        <w:t xml:space="preserve"> </w:t>
      </w:r>
      <w:r>
        <w:t xml:space="preserve">кораблями каждого типа входа в порт. Время ожидания входа в порт включает время</w:t>
      </w:r>
      <w:r>
        <w:t xml:space="preserve"> </w:t>
      </w:r>
      <w:r>
        <w:t xml:space="preserve">ожидания освобождения причала и буксира. Корабль, ожидающий освобождения</w:t>
      </w:r>
      <w:r>
        <w:t xml:space="preserve"> </w:t>
      </w:r>
      <w:r>
        <w:t xml:space="preserve">причала, не обслуживается буксиром до тех пор, пока не будет предоставлен нужный</w:t>
      </w:r>
      <w:r>
        <w:t xml:space="preserve"> </w:t>
      </w:r>
      <w:r>
        <w:t xml:space="preserve">причал. Корабль второго типа не займёт буксир до тех пор, пока ему не будут</w:t>
      </w:r>
      <w:r>
        <w:t xml:space="preserve"> </w:t>
      </w:r>
      <w:r>
        <w:t xml:space="preserve">доступны оба буксира.</w:t>
      </w:r>
    </w:p>
    <w:p>
      <w:pPr>
        <w:pStyle w:val="BodyText"/>
      </w:pPr>
      <w:r>
        <w:t xml:space="preserve">Параметры модели:</w:t>
      </w:r>
    </w:p>
    <w:p>
      <w:pPr>
        <w:numPr>
          <w:ilvl w:val="0"/>
          <w:numId w:val="1006"/>
        </w:numPr>
      </w:pPr>
      <w:r>
        <w:t xml:space="preserve">для корабля первого типа:</w:t>
      </w:r>
    </w:p>
    <w:p>
      <w:pPr>
        <w:numPr>
          <w:ilvl w:val="1"/>
          <w:numId w:val="1007"/>
        </w:numPr>
      </w:pPr>
      <w:r>
        <w:t xml:space="preserve">интервал прибытия: 130 ± 30 мин;</w:t>
      </w:r>
    </w:p>
    <w:p>
      <w:pPr>
        <w:numPr>
          <w:ilvl w:val="1"/>
          <w:numId w:val="1007"/>
        </w:numPr>
      </w:pPr>
      <w:r>
        <w:t xml:space="preserve">время входа в порт: 30 ± 7 мин;</w:t>
      </w:r>
    </w:p>
    <w:p>
      <w:pPr>
        <w:numPr>
          <w:ilvl w:val="1"/>
          <w:numId w:val="1007"/>
        </w:numPr>
      </w:pPr>
      <w:r>
        <w:t xml:space="preserve">количество доступных причалов: 6;</w:t>
      </w:r>
    </w:p>
    <w:p>
      <w:pPr>
        <w:numPr>
          <w:ilvl w:val="1"/>
          <w:numId w:val="1007"/>
        </w:numPr>
      </w:pPr>
      <w:r>
        <w:t xml:space="preserve">время погрузки/разгрузки: 12 ± 2 час;</w:t>
      </w:r>
    </w:p>
    <w:p>
      <w:pPr>
        <w:numPr>
          <w:ilvl w:val="1"/>
          <w:numId w:val="1007"/>
        </w:numPr>
      </w:pPr>
      <w:r>
        <w:t xml:space="preserve">время выхода из порта: 20 ± 5 мин;</w:t>
      </w:r>
    </w:p>
    <w:p>
      <w:pPr>
        <w:numPr>
          <w:ilvl w:val="0"/>
          <w:numId w:val="1006"/>
        </w:numPr>
      </w:pPr>
      <w:r>
        <w:t xml:space="preserve">для корабля второго типа:</w:t>
      </w:r>
    </w:p>
    <w:p>
      <w:pPr>
        <w:numPr>
          <w:ilvl w:val="1"/>
          <w:numId w:val="1008"/>
        </w:numPr>
      </w:pPr>
      <w:r>
        <w:t xml:space="preserve">интервал прибытия: 390 ± 60 мин;</w:t>
      </w:r>
    </w:p>
    <w:p>
      <w:pPr>
        <w:numPr>
          <w:ilvl w:val="1"/>
          <w:numId w:val="1008"/>
        </w:numPr>
      </w:pPr>
      <w:r>
        <w:t xml:space="preserve">время входа в порт: 45 ± 12 мин;</w:t>
      </w:r>
    </w:p>
    <w:p>
      <w:pPr>
        <w:numPr>
          <w:ilvl w:val="1"/>
          <w:numId w:val="1008"/>
        </w:numPr>
      </w:pPr>
      <w:r>
        <w:t xml:space="preserve">количество доступных причалов: 3;</w:t>
      </w:r>
    </w:p>
    <w:p>
      <w:pPr>
        <w:numPr>
          <w:ilvl w:val="1"/>
          <w:numId w:val="1008"/>
        </w:numPr>
      </w:pPr>
      <w:r>
        <w:t xml:space="preserve">время погрузки/разгрузки: 18 ± 4 час;</w:t>
      </w:r>
    </w:p>
    <w:p>
      <w:pPr>
        <w:numPr>
          <w:ilvl w:val="1"/>
          <w:numId w:val="1008"/>
        </w:numPr>
      </w:pPr>
      <w:r>
        <w:t xml:space="preserve">время выхода из порта: 35 ± 10 мин.</w:t>
      </w:r>
    </w:p>
    <w:p>
      <w:pPr>
        <w:numPr>
          <w:ilvl w:val="1"/>
          <w:numId w:val="1008"/>
        </w:numPr>
      </w:pPr>
      <w:r>
        <w:t xml:space="preserve">время моделирования: 365 дней по 8 часов.</w:t>
      </w:r>
    </w:p>
    <w:bookmarkEnd w:id="33"/>
    <w:bookmarkStart w:id="46" w:name="построение-модели-1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Код для реализации модели обслуживания в порту судов двух типов может быть реализован следующим образом (рис. 3):</w:t>
      </w:r>
    </w:p>
    <w:bookmarkStart w:id="37" w:name="fig:003"/>
    <w:p>
      <w:pPr>
        <w:pStyle w:val="CaptionedFigure"/>
      </w:pPr>
      <w:r>
        <w:drawing>
          <wp:inline>
            <wp:extent cx="4109987" cy="5775157"/>
            <wp:effectExtent b="0" l="0" r="0" t="0"/>
            <wp:docPr descr="Рис. 3: Код модели обслуживания в порту судов двух типов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987" cy="577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Код модели обслуживания в порту судов двух типов</w:t>
      </w:r>
    </w:p>
    <w:bookmarkEnd w:id="37"/>
    <w:p>
      <w:pPr>
        <w:pStyle w:val="BodyText"/>
      </w:pPr>
      <w:r>
        <w:t xml:space="preserve">После запуска получаем следующий отчет (рис. 4):</w:t>
      </w:r>
    </w:p>
    <w:bookmarkStart w:id="41" w:name="fig:004"/>
    <w:p>
      <w:pPr>
        <w:pStyle w:val="CaptionedFigure"/>
      </w:pPr>
      <w:r>
        <w:drawing>
          <wp:inline>
            <wp:extent cx="3733800" cy="3918000"/>
            <wp:effectExtent b="0" l="0" r="0" t="0"/>
            <wp:docPr descr="Рис. 4: Отчет по модели обслуживания в порту судов двух типов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Отчет по модели обслуживания в порту судов двух типов</w:t>
      </w:r>
    </w:p>
    <w:bookmarkEnd w:id="41"/>
    <w:bookmarkStart w:id="45" w:name="fig:005"/>
    <w:p>
      <w:pPr>
        <w:pStyle w:val="CaptionedFigure"/>
      </w:pPr>
      <w:r>
        <w:drawing>
          <wp:inline>
            <wp:extent cx="3733800" cy="2241357"/>
            <wp:effectExtent b="0" l="0" r="0" t="0"/>
            <wp:docPr descr="Рис. 5: Отчет по модели обслуживания в порту судов двух типов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1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Отчет по модели обслуживания в порту судов двух типов</w:t>
      </w:r>
    </w:p>
    <w:bookmarkEnd w:id="45"/>
    <w:p>
      <w:pPr>
        <w:pStyle w:val="BodyText"/>
      </w:pPr>
      <w:r>
        <w:t xml:space="preserve">Среднее время ожидания кораблями каждого типа входа в порт</w:t>
      </w:r>
      <w:r>
        <w:t xml:space="preserve"> </w:t>
      </w:r>
      <w:r>
        <w:t xml:space="preserve">получаем в конце моделирования из стандартной статистики об очередях: оно равно показателю</w:t>
      </w:r>
      <w:r>
        <w:t xml:space="preserve"> </w:t>
      </w:r>
      <w:r>
        <w:rPr>
          <w:rStyle w:val="VerbatimChar"/>
        </w:rPr>
        <w:t xml:space="preserve">AVERAGE TIME</w:t>
      </w:r>
      <w:r>
        <w:t xml:space="preserve"> </w:t>
      </w:r>
      <w:r>
        <w:t xml:space="preserve">соответствующей очереди.</w:t>
      </w:r>
      <w:r>
        <w:t xml:space="preserve"> </w:t>
      </w:r>
      <w:r>
        <w:t xml:space="preserve">Эти же значения дают стандартные числовые атрибуты</w:t>
      </w:r>
      <w:r>
        <w:t xml:space="preserve"> </w:t>
      </w:r>
      <w:r>
        <w:rPr>
          <w:rStyle w:val="VerbatimChar"/>
        </w:rPr>
        <w:t xml:space="preserve">QT$TYPE1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QT$TYPE2</w:t>
      </w:r>
      <w:r>
        <w:t xml:space="preserve">.</w:t>
      </w:r>
    </w:p>
    <w:p>
      <w:pPr>
        <w:pStyle w:val="BodyText"/>
      </w:pPr>
      <w:r>
        <w:t xml:space="preserve">Рассмотрим отчет более детально:</w:t>
      </w:r>
    </w:p>
    <w:p>
      <w:pPr>
        <w:pStyle w:val="BodyText"/>
      </w:pPr>
      <w:r>
        <w:rPr>
          <w:b/>
          <w:bCs/>
        </w:rPr>
        <w:t xml:space="preserve">Общие показатели системы:</w:t>
      </w:r>
    </w:p>
    <w:p>
      <w:pPr>
        <w:numPr>
          <w:ilvl w:val="0"/>
          <w:numId w:val="1009"/>
        </w:numPr>
      </w:pPr>
      <w:r>
        <w:t xml:space="preserve">Задействовано ресурсов: 28 блоков обработки</w:t>
      </w:r>
    </w:p>
    <w:p>
      <w:pPr>
        <w:numPr>
          <w:ilvl w:val="0"/>
          <w:numId w:val="1009"/>
        </w:numPr>
      </w:pPr>
      <w:r>
        <w:t xml:space="preserve">Всего поступило заявок: 1791 (1345 - корабли 1 типа, 446 - корабли 2 типа)</w:t>
      </w:r>
    </w:p>
    <w:p>
      <w:pPr>
        <w:numPr>
          <w:ilvl w:val="0"/>
          <w:numId w:val="1009"/>
        </w:numPr>
      </w:pPr>
      <w:r>
        <w:t xml:space="preserve">Успешно обработано: 1780 заявок (1339 - 1 тип, 441 - 2 тип)</w:t>
      </w:r>
    </w:p>
    <w:p>
      <w:pPr>
        <w:pStyle w:val="FirstParagraph"/>
      </w:pPr>
      <w:r>
        <w:rPr>
          <w:b/>
          <w:bCs/>
        </w:rPr>
        <w:t xml:space="preserve">Анализ очередей:</w:t>
      </w:r>
    </w:p>
    <w:p>
      <w:pPr>
        <w:numPr>
          <w:ilvl w:val="0"/>
          <w:numId w:val="1010"/>
        </w:numPr>
      </w:pPr>
      <w:r>
        <w:t xml:space="preserve">Для судов 1 категории:</w:t>
      </w:r>
    </w:p>
    <w:p>
      <w:pPr>
        <w:numPr>
          <w:ilvl w:val="1"/>
          <w:numId w:val="1011"/>
        </w:numPr>
      </w:pPr>
      <w:r>
        <w:t xml:space="preserve">Всего ожидало в очереди: 1057 ед.</w:t>
      </w:r>
    </w:p>
    <w:p>
      <w:pPr>
        <w:numPr>
          <w:ilvl w:val="1"/>
          <w:numId w:val="1011"/>
        </w:numPr>
      </w:pPr>
      <w:r>
        <w:t xml:space="preserve">Максимальная очередь: 4 судна</w:t>
      </w:r>
    </w:p>
    <w:p>
      <w:pPr>
        <w:numPr>
          <w:ilvl w:val="1"/>
          <w:numId w:val="1011"/>
        </w:numPr>
      </w:pPr>
      <w:r>
        <w:t xml:space="preserve">Обслужено без ожидания: 288 ед. (21.5% от общего потока)</w:t>
      </w:r>
    </w:p>
    <w:p>
      <w:pPr>
        <w:numPr>
          <w:ilvl w:val="1"/>
          <w:numId w:val="1011"/>
        </w:numPr>
      </w:pPr>
      <w:r>
        <w:t xml:space="preserve">На момент завершения: очередь отсутствует</w:t>
      </w:r>
    </w:p>
    <w:p>
      <w:pPr>
        <w:numPr>
          <w:ilvl w:val="0"/>
          <w:numId w:val="1010"/>
        </w:numPr>
      </w:pPr>
      <w:r>
        <w:t xml:space="preserve">Для судов 2 категории:</w:t>
      </w:r>
    </w:p>
    <w:p>
      <w:pPr>
        <w:numPr>
          <w:ilvl w:val="1"/>
          <w:numId w:val="1012"/>
        </w:numPr>
      </w:pPr>
      <w:r>
        <w:t xml:space="preserve">Всего ожидало в очереди: 411 ед.</w:t>
      </w:r>
    </w:p>
    <w:p>
      <w:pPr>
        <w:numPr>
          <w:ilvl w:val="1"/>
          <w:numId w:val="1012"/>
        </w:numPr>
      </w:pPr>
      <w:r>
        <w:t xml:space="preserve">Максимальная очередь: 4 судна</w:t>
      </w:r>
    </w:p>
    <w:p>
      <w:pPr>
        <w:numPr>
          <w:ilvl w:val="1"/>
          <w:numId w:val="1012"/>
        </w:numPr>
      </w:pPr>
      <w:r>
        <w:t xml:space="preserve">Обслужено без ожидания: 35 ед. (7.8% от общего потока)</w:t>
      </w:r>
    </w:p>
    <w:p>
      <w:pPr>
        <w:numPr>
          <w:ilvl w:val="1"/>
          <w:numId w:val="1012"/>
        </w:numPr>
      </w:pPr>
      <w:r>
        <w:t xml:space="preserve">На момент завершения: 2 судна в очереди</w:t>
      </w:r>
    </w:p>
    <w:p>
      <w:pPr>
        <w:pStyle w:val="FirstParagraph"/>
      </w:pPr>
      <w:r>
        <w:rPr>
          <w:b/>
          <w:bCs/>
        </w:rPr>
        <w:t xml:space="preserve">Текущее состояние системы:</w:t>
      </w:r>
    </w:p>
    <w:p>
      <w:pPr>
        <w:numPr>
          <w:ilvl w:val="0"/>
          <w:numId w:val="1013"/>
        </w:numPr>
      </w:pPr>
      <w:r>
        <w:t xml:space="preserve">В процессе разгрузки: 5 судов 1 типа и 3 судна 2 типа</w:t>
      </w:r>
    </w:p>
    <w:p>
      <w:pPr>
        <w:numPr>
          <w:ilvl w:val="0"/>
          <w:numId w:val="1013"/>
        </w:numPr>
      </w:pPr>
      <w:r>
        <w:t xml:space="preserve">Дополнительно: 1 судно 1 типа находится на буксировке</w:t>
      </w:r>
    </w:p>
    <w:p>
      <w:pPr>
        <w:pStyle w:val="FirstParagraph"/>
      </w:pPr>
      <w:r>
        <w:rPr>
          <w:b/>
          <w:bCs/>
        </w:rPr>
        <w:t xml:space="preserve">Эффективность работы:</w:t>
      </w:r>
    </w:p>
    <w:p>
      <w:pPr>
        <w:numPr>
          <w:ilvl w:val="0"/>
          <w:numId w:val="1014"/>
        </w:numPr>
      </w:pPr>
      <w:r>
        <w:t xml:space="preserve">Коэффициент обслуживания: 99.4% (1780/1791)</w:t>
      </w:r>
    </w:p>
    <w:p>
      <w:pPr>
        <w:numPr>
          <w:ilvl w:val="0"/>
          <w:numId w:val="1014"/>
        </w:numPr>
      </w:pPr>
      <w:r>
        <w:t xml:space="preserve">Разница в обслуживании категорий: суда 1 типа обслуживались без очереди в 2.8 раза чаще</w:t>
      </w:r>
    </w:p>
    <w:bookmarkEnd w:id="46"/>
    <w:bookmarkEnd w:id="47"/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изучила приципы работы GPSS для реализации моделей обслуживания с приоритетами.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15. Модели обслуживания с приоритетами</dc:title>
  <dc:creator>Абакумова Олеся Максимовна, НФИбд-02-22</dc:creator>
  <dc:language>ru-RU</dc:language>
  <cp:keywords/>
  <dcterms:created xsi:type="dcterms:W3CDTF">2025-05-17T13:53:10Z</dcterms:created>
  <dcterms:modified xsi:type="dcterms:W3CDTF">2025-05-17T13:53:10Z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