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30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16. Настройка VPN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Интернет-</w:t>
      </w:r>
      <w:r>
        <w:t xml:space="preserve"> </w:t>
      </w:r>
      <w:r>
        <w:t xml:space="preserve">соединение.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VPN-туннель между сетью Университета г. Пиза (Италия) и сетью «Донская» в г. Москва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22" w:name="предварительные-свед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rPr>
          <w:b/>
          <w:bCs/>
        </w:rPr>
        <w:t xml:space="preserve">Виртуальная частная сеть (Virtual Private Network, VPN)</w:t>
      </w:r>
      <w:r>
        <w:t xml:space="preserve"> </w:t>
      </w:r>
      <w:r>
        <w:t xml:space="preserve">— технология,</w:t>
      </w:r>
      <w:r>
        <w:t xml:space="preserve"> </w:t>
      </w:r>
      <w:r>
        <w:t xml:space="preserve">обеспечивающая одно или несколько сетевых соединений поверх другой сети</w:t>
      </w:r>
      <w:r>
        <w:t xml:space="preserve"> </w:t>
      </w:r>
      <w:r>
        <w:t xml:space="preserve">(например, Интернет).</w:t>
      </w:r>
      <w:r>
        <w:t xml:space="preserve"> </w:t>
      </w:r>
      <w:r>
        <w:t xml:space="preserve">Для организации защищённого VPN-туннеля может использоваться протокол общей инкапсуляции маршрутов (Generic Routing Encapsulation, GRE)</w:t>
      </w:r>
      <w:r>
        <w:t xml:space="preserve"> </w:t>
      </w:r>
      <w:r>
        <w:t xml:space="preserve">компании Cisco. Основное назначение GRE — инкапсуляция пакетов сетевого уровня сетевой модели взаимодействия открытых систем (Open Systems</w:t>
      </w:r>
      <w:r>
        <w:t xml:space="preserve"> </w:t>
      </w:r>
      <w:r>
        <w:t xml:space="preserve">Interconnection Basic Reference Model), например, IP, CLNP, IPX, AppleTalk</w:t>
      </w:r>
      <w:r>
        <w:t xml:space="preserve"> </w:t>
      </w:r>
      <w:r>
        <w:t xml:space="preserve">и др., в IP пакеты.</w:t>
      </w:r>
    </w:p>
    <w:bookmarkEnd w:id="22"/>
    <w:bookmarkStart w:id="25" w:name="модельные-предположе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Модельные предположения</w:t>
      </w:r>
    </w:p>
    <w:p>
      <w:pPr>
        <w:pStyle w:val="FirstParagraph"/>
      </w:pPr>
      <w:r>
        <w:t xml:space="preserve">Сеть Университета г. Пиза (Италия) содержит маршрутизатор Cisco 2811</w:t>
      </w:r>
      <w:r>
        <w:t xml:space="preserve"> </w:t>
      </w:r>
      <w:r>
        <w:t xml:space="preserve">pisa-inipi-gw-1, коммутатор Cisco 2950 pisa-unipi-sw-1 и конечное устройство PC pc-unipi-1.</w:t>
      </w:r>
      <w:r>
        <w:t xml:space="preserve"> </w:t>
      </w:r>
      <w:r>
        <w:t xml:space="preserve">Адреса для организации VPN-туннеля представлены в табл. 1</w:t>
      </w:r>
    </w:p>
    <w:bookmarkStart w:id="23" w:name="tbl:vpn"/>
    <w:p>
      <w:pPr>
        <w:pStyle w:val="TableCaption"/>
      </w:pPr>
      <w:r>
        <w:t xml:space="preserve">Таблица 1: Адреса туннеля VPN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Адреса туннеля VP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10.128.255.252/30</w:t>
            </w:r>
          </w:p>
        </w:tc>
        <w:tc>
          <w:tcPr/>
          <w:p>
            <w:pPr>
              <w:pStyle w:val="Compact"/>
            </w:pPr>
            <w:r>
              <w:t xml:space="preserve">Линк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10.128.255.253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10.128.255.254</w:t>
            </w:r>
          </w:p>
        </w:tc>
        <w:tc>
          <w:tcPr/>
          <w:p>
            <w:pPr>
              <w:pStyle w:val="Compact"/>
            </w:pPr>
            <w:r>
              <w:t xml:space="preserve">pisa-unipi-gw-1</w:t>
            </w:r>
          </w:p>
        </w:tc>
      </w:tr>
    </w:tbl>
    <w:bookmarkEnd w:id="23"/>
    <w:p>
      <w:pPr>
        <w:pStyle w:val="BodyText"/>
      </w:pPr>
      <w:r>
        <w:t xml:space="preserve">Для идентификации маршрутизаторов предполагается использовать</w:t>
      </w:r>
      <w:r>
        <w:t xml:space="preserve"> </w:t>
      </w:r>
      <w:r>
        <w:t xml:space="preserve">loopback-адреса представлены в табл. 2</w:t>
      </w:r>
    </w:p>
    <w:bookmarkStart w:id="24" w:name="tbl:loopback"/>
    <w:p>
      <w:pPr>
        <w:pStyle w:val="TableCaption"/>
      </w:pPr>
      <w:r>
        <w:t xml:space="preserve">Таблица 2: Адреса интерфейсов loopback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Адреса интерфейсов loopback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10.128.254.0/24</w:t>
            </w:r>
          </w:p>
        </w:tc>
        <w:tc>
          <w:tcPr/>
          <w:p>
            <w:pPr>
              <w:pStyle w:val="Compact"/>
            </w:pPr>
            <w:r>
              <w:t xml:space="preserve">Сеть адресов loopback интерфейсов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10.128.254.1/32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10.128.254.2/32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10.128.254.3/32</w:t>
            </w:r>
          </w:p>
        </w:tc>
        <w:tc>
          <w:tcPr/>
          <w:p>
            <w:pPr>
              <w:pStyle w:val="Compact"/>
            </w:pPr>
            <w:r>
              <w:t xml:space="preserve">msk-hostel-gw-1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10.128.254.4/32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10.128.254.5/32</w:t>
            </w:r>
          </w:p>
        </w:tc>
        <w:tc>
          <w:tcPr/>
          <w:p>
            <w:pPr>
              <w:pStyle w:val="Compact"/>
            </w:pPr>
            <w:r>
              <w:t xml:space="preserve">pisa-unipi-gw-1</w:t>
            </w:r>
          </w:p>
        </w:tc>
      </w:tr>
    </w:tbl>
    <w:bookmarkEnd w:id="24"/>
    <w:bookmarkEnd w:id="25"/>
    <w:bookmarkStart w:id="120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102" w:name="настройка-площадки-в-г.-пиз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Настройка площадки в г. Пиза</w:t>
      </w:r>
    </w:p>
    <w:p>
      <w:pPr>
        <w:pStyle w:val="FirstParagraph"/>
      </w:pPr>
      <w:r>
        <w:t xml:space="preserve">Для начала разместим необходимые устройства дл площадки (рис. 1):</w:t>
      </w:r>
    </w:p>
    <w:bookmarkStart w:id="29" w:name="fig:001"/>
    <w:p>
      <w:pPr>
        <w:pStyle w:val="CaptionedFigure"/>
      </w:pPr>
      <w:r>
        <w:drawing>
          <wp:inline>
            <wp:extent cx="4267200" cy="1714451"/>
            <wp:effectExtent b="0" l="0" r="0" t="0"/>
            <wp:docPr descr="Рис. 1: Устройства площадки г. Пиза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4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Устройства площадки г. Пиза</w:t>
      </w:r>
    </w:p>
    <w:bookmarkEnd w:id="29"/>
    <w:p>
      <w:pPr>
        <w:pStyle w:val="BodyText"/>
      </w:pPr>
      <w:r>
        <w:t xml:space="preserve">Зададим им верные именования согласно соглашению и поменем на репитерах модули (рис. 2):</w:t>
      </w:r>
    </w:p>
    <w:bookmarkStart w:id="33" w:name="fig:002"/>
    <w:p>
      <w:pPr>
        <w:pStyle w:val="CaptionedFigure"/>
      </w:pPr>
      <w:r>
        <w:drawing>
          <wp:inline>
            <wp:extent cx="4267200" cy="4011897"/>
            <wp:effectExtent b="0" l="0" r="0" t="0"/>
            <wp:docPr descr="Рис. 2: Замена модулей на internet-omabakumova-mc-2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1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Замена модулей на internet-omabakumova-mc-2</w:t>
      </w:r>
    </w:p>
    <w:bookmarkEnd w:id="33"/>
    <w:bookmarkStart w:id="37" w:name="fig:003"/>
    <w:p>
      <w:pPr>
        <w:pStyle w:val="CaptionedFigure"/>
      </w:pPr>
      <w:r>
        <w:drawing>
          <wp:inline>
            <wp:extent cx="4267200" cy="4066094"/>
            <wp:effectExtent b="0" l="0" r="0" t="0"/>
            <wp:docPr descr="Рис. 3: Замена модулей на pisa-unipi-omabakumova-mc-1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6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Замена модулей на pisa-unipi-omabakumova-mc-1</w:t>
      </w:r>
    </w:p>
    <w:bookmarkEnd w:id="37"/>
    <w:p>
      <w:pPr>
        <w:pStyle w:val="BodyText"/>
      </w:pPr>
      <w:r>
        <w:t xml:space="preserve">Теперь соединим наши устройства (рис. 4):</w:t>
      </w:r>
    </w:p>
    <w:bookmarkStart w:id="41" w:name="fig:004"/>
    <w:p>
      <w:pPr>
        <w:pStyle w:val="CaptionedFigure"/>
      </w:pPr>
      <w:r>
        <w:drawing>
          <wp:inline>
            <wp:extent cx="4267200" cy="1025693"/>
            <wp:effectExtent b="0" l="0" r="0" t="0"/>
            <wp:docPr descr="Рис. 4: Схема г. Пиза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Схема г. Пиза</w:t>
      </w:r>
    </w:p>
    <w:bookmarkEnd w:id="41"/>
    <w:p>
      <w:pPr>
        <w:pStyle w:val="BodyText"/>
      </w:pPr>
      <w:r>
        <w:t xml:space="preserve">Теперь необходимо перейти в физическую область и создать там еще один город, соответствующий г. Пиза и переместить с серверной на Донской устройства, принадлежащие ей.Также переместить репитер internet-omabakumova-mc-2 в область Internet (рис. 5):</w:t>
      </w:r>
    </w:p>
    <w:bookmarkStart w:id="45" w:name="fig:005"/>
    <w:p>
      <w:pPr>
        <w:pStyle w:val="CaptionedFigure"/>
      </w:pPr>
      <w:r>
        <w:drawing>
          <wp:inline>
            <wp:extent cx="4267200" cy="2893898"/>
            <wp:effectExtent b="0" l="0" r="0" t="0"/>
            <wp:docPr descr="Рис. 5: Создание г. Пиза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г. Пиза</w:t>
      </w:r>
    </w:p>
    <w:bookmarkEnd w:id="45"/>
    <w:bookmarkStart w:id="49" w:name="fig:006"/>
    <w:p>
      <w:pPr>
        <w:pStyle w:val="CaptionedFigure"/>
      </w:pPr>
      <w:r>
        <w:drawing>
          <wp:inline>
            <wp:extent cx="4267200" cy="2596791"/>
            <wp:effectExtent b="0" l="0" r="0" t="0"/>
            <wp:docPr descr="Рис. 6: Пример перемещени устройства в г. Пиза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 перемещени устройства в г. Пиза</w:t>
      </w:r>
    </w:p>
    <w:bookmarkEnd w:id="49"/>
    <w:p>
      <w:pPr>
        <w:pStyle w:val="BodyText"/>
      </w:pPr>
      <w:r>
        <w:t xml:space="preserve">Также у нас есть оконечное устройство, оно неинаходится в серверной, нужно его тоже переместить в г. Пиза (рис. 7):</w:t>
      </w:r>
    </w:p>
    <w:bookmarkStart w:id="53" w:name="fig:007"/>
    <w:p>
      <w:pPr>
        <w:pStyle w:val="CaptionedFigure"/>
      </w:pPr>
      <w:r>
        <w:drawing>
          <wp:inline>
            <wp:extent cx="4267200" cy="1596886"/>
            <wp:effectExtent b="0" l="0" r="0" t="0"/>
            <wp:docPr descr="Рис. 7: Перемещение оконечного устройства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9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Перемещение оконечного устройства</w:t>
      </w:r>
    </w:p>
    <w:bookmarkEnd w:id="53"/>
    <w:bookmarkStart w:id="57" w:name="fig:008"/>
    <w:p>
      <w:pPr>
        <w:pStyle w:val="CaptionedFigure"/>
      </w:pPr>
      <w:r>
        <w:drawing>
          <wp:inline>
            <wp:extent cx="4267200" cy="3273097"/>
            <wp:effectExtent b="0" l="0" r="0" t="0"/>
            <wp:docPr descr="Рис. 8: Вид перемещенных устройств в г. Пиза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Вид перемещенных устройств в г. Пиза</w:t>
      </w:r>
    </w:p>
    <w:bookmarkEnd w:id="57"/>
    <w:bookmarkStart w:id="61" w:name="fig:009"/>
    <w:p>
      <w:pPr>
        <w:pStyle w:val="CaptionedFigure"/>
      </w:pPr>
      <w:r>
        <w:drawing>
          <wp:inline>
            <wp:extent cx="4267200" cy="1363532"/>
            <wp:effectExtent b="0" l="0" r="0" t="0"/>
            <wp:docPr descr="Рис. 9: Вид схемы после перемещения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6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Вид схемы после перемещения</w:t>
      </w:r>
    </w:p>
    <w:bookmarkEnd w:id="61"/>
    <w:p>
      <w:pPr>
        <w:pStyle w:val="BodyText"/>
      </w:pPr>
      <w:r>
        <w:rPr>
          <w:b/>
          <w:bCs/>
        </w:rPr>
        <w:t xml:space="preserve">Конечно же тут ничего не работает, потому что кто-то забыл добавить здание на территорию г. Пиза</w:t>
      </w:r>
    </w:p>
    <w:p>
      <w:pPr>
        <w:pStyle w:val="BodyText"/>
      </w:pPr>
      <w:r>
        <w:t xml:space="preserve">Проведем первоначальную настройку маршрутизатора и коммутатора в г. Пиза (рис. 10):</w:t>
      </w:r>
    </w:p>
    <w:bookmarkStart w:id="65" w:name="fig:010"/>
    <w:p>
      <w:pPr>
        <w:pStyle w:val="CaptionedFigure"/>
      </w:pPr>
      <w:r>
        <w:drawing>
          <wp:inline>
            <wp:extent cx="4267200" cy="3860054"/>
            <wp:effectExtent b="0" l="0" r="0" t="0"/>
            <wp:docPr descr="Рис. 10: Первоначальная настройка маршрутизатора pisa-unipi-omabakumova-gw-1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6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Первоначальная настройка маршрутизатора pisa-unipi-omabakumova-gw-1</w:t>
      </w:r>
    </w:p>
    <w:bookmarkEnd w:id="65"/>
    <w:bookmarkStart w:id="69" w:name="fig:011"/>
    <w:p>
      <w:pPr>
        <w:pStyle w:val="CaptionedFigure"/>
      </w:pPr>
      <w:r>
        <w:drawing>
          <wp:inline>
            <wp:extent cx="4267200" cy="3866413"/>
            <wp:effectExtent b="0" l="0" r="0" t="0"/>
            <wp:docPr descr="Рис. 11: Первоначальная настройка маршрутизатора pisa-unipi-omabakumova-sw-1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6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Первоначальная настройка маршрутизатора pisa-unipi-omabakumova-sw-1</w:t>
      </w:r>
    </w:p>
    <w:bookmarkEnd w:id="69"/>
    <w:p>
      <w:pPr>
        <w:pStyle w:val="BodyText"/>
      </w:pPr>
      <w:r>
        <w:t xml:space="preserve">Проведем настройку интерфейсов дл маршрутизатора и коммутатора (рис. 12):</w:t>
      </w:r>
    </w:p>
    <w:bookmarkStart w:id="73" w:name="fig:012"/>
    <w:p>
      <w:pPr>
        <w:pStyle w:val="CaptionedFigure"/>
      </w:pPr>
      <w:r>
        <w:drawing>
          <wp:inline>
            <wp:extent cx="4267200" cy="2965214"/>
            <wp:effectExtent b="0" l="0" r="0" t="0"/>
            <wp:docPr descr="Рис. 12: Настрйока интерфейсов на маршрутизаторе pisa-unipi-omabakumova-gw-1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Настрйока интерфейсов на маршрутизаторе pisa-unipi-omabakumova-gw-1</w:t>
      </w:r>
    </w:p>
    <w:bookmarkEnd w:id="73"/>
    <w:bookmarkStart w:id="77" w:name="fig:013"/>
    <w:p>
      <w:pPr>
        <w:pStyle w:val="CaptionedFigure"/>
      </w:pPr>
      <w:r>
        <w:drawing>
          <wp:inline>
            <wp:extent cx="4267200" cy="2930916"/>
            <wp:effectExtent b="0" l="0" r="0" t="0"/>
            <wp:docPr descr="Рис. 13: Настройка интерфейсов на коммутаторе pisa-unipi-omabakumova-sw-1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интерфейсов на коммутаторе pisa-unipi-omabakumova-sw-1</w:t>
      </w:r>
    </w:p>
    <w:bookmarkEnd w:id="77"/>
    <w:p>
      <w:pPr>
        <w:pStyle w:val="BodyText"/>
      </w:pPr>
      <w:r>
        <w:t xml:space="preserve">Также добавим шлюз и статический адрес оконечному устройству (рис. 14):</w:t>
      </w:r>
    </w:p>
    <w:bookmarkStart w:id="81" w:name="fig:014"/>
    <w:p>
      <w:pPr>
        <w:pStyle w:val="CaptionedFigure"/>
      </w:pPr>
      <w:r>
        <w:drawing>
          <wp:inline>
            <wp:extent cx="4267200" cy="1990139"/>
            <wp:effectExtent b="0" l="0" r="0" t="0"/>
            <wp:docPr descr="Рис. 14: Добавление шлюза на pc-unipi-omabakumova-1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шлюза на pc-unipi-omabakumova-1</w:t>
      </w:r>
    </w:p>
    <w:bookmarkEnd w:id="81"/>
    <w:bookmarkStart w:id="85" w:name="fig:015"/>
    <w:p>
      <w:pPr>
        <w:pStyle w:val="CaptionedFigure"/>
      </w:pPr>
      <w:r>
        <w:drawing>
          <wp:inline>
            <wp:extent cx="4267200" cy="2588809"/>
            <wp:effectExtent b="0" l="0" r="0" t="0"/>
            <wp:docPr descr="Рис. 15: Добавление адреса на pc-unipi-omabakumova-1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8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Добавление адреса на pc-unipi-omabakumova-1</w:t>
      </w:r>
    </w:p>
    <w:bookmarkEnd w:id="85"/>
    <w:p>
      <w:pPr>
        <w:pStyle w:val="BodyText"/>
      </w:pPr>
      <w:r>
        <w:rPr>
          <w:b/>
          <w:bCs/>
        </w:rPr>
        <w:t xml:space="preserve">Тест на дурака был пройден, поэтому никакие тесты не пройдут, пока не вернемся в физическую область и не поправим все</w:t>
      </w:r>
    </w:p>
    <w:p>
      <w:pPr>
        <w:pStyle w:val="BodyText"/>
      </w:pPr>
      <w:r>
        <w:t xml:space="preserve">Создаем в г. Пиза здание (рис. 16):</w:t>
      </w:r>
    </w:p>
    <w:bookmarkStart w:id="89" w:name="fig:016"/>
    <w:p>
      <w:pPr>
        <w:pStyle w:val="CaptionedFigure"/>
      </w:pPr>
      <w:r>
        <w:drawing>
          <wp:inline>
            <wp:extent cx="4267200" cy="1940105"/>
            <wp:effectExtent b="0" l="0" r="0" t="0"/>
            <wp:docPr descr="Рис. 16: Создание здания “University” в г. Пиза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4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здания</w:t>
      </w:r>
      <w:r>
        <w:t xml:space="preserve"> </w:t>
      </w:r>
      <w:r>
        <w:t xml:space="preserve">“University”</w:t>
      </w:r>
      <w:r>
        <w:t xml:space="preserve"> </w:t>
      </w:r>
      <w:r>
        <w:t xml:space="preserve">в г. Пиза</w:t>
      </w:r>
    </w:p>
    <w:bookmarkEnd w:id="89"/>
    <w:bookmarkStart w:id="93" w:name="fig:017"/>
    <w:p>
      <w:pPr>
        <w:pStyle w:val="CaptionedFigure"/>
      </w:pPr>
      <w:r>
        <w:drawing>
          <wp:inline>
            <wp:extent cx="4267200" cy="3278312"/>
            <wp:effectExtent b="0" l="0" r="0" t="0"/>
            <wp:docPr descr="Рис. 17: Перемещение устройств в г. Пиза в здание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Перемещение устройств в г. Пиза в здание</w:t>
      </w:r>
    </w:p>
    <w:bookmarkEnd w:id="93"/>
    <w:p>
      <w:pPr>
        <w:pStyle w:val="BodyText"/>
      </w:pPr>
      <w:r>
        <w:t xml:space="preserve">Сеть заработала.Можем провести простые тесты с помощью пинга (рис. 16):</w:t>
      </w:r>
    </w:p>
    <w:bookmarkStart w:id="97" w:name="fig:018"/>
    <w:p>
      <w:pPr>
        <w:pStyle w:val="CaptionedFigure"/>
      </w:pPr>
      <w:r>
        <w:drawing>
          <wp:inline>
            <wp:extent cx="4267200" cy="1801191"/>
            <wp:effectExtent b="0" l="0" r="0" t="0"/>
            <wp:docPr descr="Рис. 18: Пинговние с маршрутизатора pisa-unipi-omabakumova-gw-1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Пинговние с маршрутизатора pisa-unipi-omabakumova-gw-1</w:t>
      </w:r>
    </w:p>
    <w:bookmarkEnd w:id="97"/>
    <w:bookmarkStart w:id="101" w:name="fig:019"/>
    <w:p>
      <w:pPr>
        <w:pStyle w:val="CaptionedFigure"/>
      </w:pPr>
      <w:r>
        <w:drawing>
          <wp:inline>
            <wp:extent cx="4267200" cy="8287850"/>
            <wp:effectExtent b="0" l="0" r="0" t="0"/>
            <wp:docPr descr="Рис. 19: Пингование с оконечного устройства pc-unipi-omabakumova-1 в г. Пиза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28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Пингование с оконечного устройства pc-unipi-omabakumova-1 в г. Пиза</w:t>
      </w:r>
    </w:p>
    <w:bookmarkEnd w:id="101"/>
    <w:p>
      <w:pPr>
        <w:pStyle w:val="BodyText"/>
      </w:pPr>
      <w:r>
        <w:rPr>
          <w:b/>
          <w:bCs/>
        </w:rPr>
        <w:t xml:space="preserve">Все тесты прошли успешно, сеть работоспособна</w:t>
      </w:r>
    </w:p>
    <w:bookmarkEnd w:id="102"/>
    <w:bookmarkStart w:id="119" w:name="настройка-vpn-на-основе-gr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Настройка VPN на основе GRE</w:t>
      </w:r>
    </w:p>
    <w:p>
      <w:pPr>
        <w:pStyle w:val="FirstParagraph"/>
      </w:pPr>
      <w:r>
        <w:t xml:space="preserve">Проведем настройку VPN на маршрутизаторе (рис. 20):</w:t>
      </w:r>
    </w:p>
    <w:bookmarkStart w:id="106" w:name="fig:020"/>
    <w:p>
      <w:pPr>
        <w:pStyle w:val="CaptionedFigure"/>
      </w:pPr>
      <w:r>
        <w:drawing>
          <wp:inline>
            <wp:extent cx="4267200" cy="2872049"/>
            <wp:effectExtent b="0" l="0" r="0" t="0"/>
            <wp:docPr descr="Рис. 20: Настройка VPN на маршрутизаторе pisa-unipi-omabakumova-gw-1" title="" id="104" name="Picture"/>
            <a:graphic>
              <a:graphicData uri="http://schemas.openxmlformats.org/drawingml/2006/picture">
                <pic:pic>
                  <pic:nvPicPr>
                    <pic:cNvPr descr="image/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7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VPN на маршрутизаторе pisa-unipi-omabakumova-gw-1</w:t>
      </w:r>
    </w:p>
    <w:bookmarkEnd w:id="106"/>
    <w:p>
      <w:pPr>
        <w:pStyle w:val="BodyText"/>
      </w:pPr>
      <w:r>
        <w:t xml:space="preserve">Аналогично на коммутаторе (рис. 21):</w:t>
      </w:r>
    </w:p>
    <w:bookmarkStart w:id="110" w:name="fig:021"/>
    <w:p>
      <w:pPr>
        <w:pStyle w:val="CaptionedFigure"/>
      </w:pPr>
      <w:r>
        <w:drawing>
          <wp:inline>
            <wp:extent cx="4267200" cy="3577433"/>
            <wp:effectExtent b="0" l="0" r="0" t="0"/>
            <wp:docPr descr="Рис. 21: Настройка VPN на маршрутизаторе pisa-unipi-omabakumova-sw-1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VPN на маршрутизаторе pisa-unipi-omabakumova-sw-1</w:t>
      </w:r>
    </w:p>
    <w:bookmarkEnd w:id="110"/>
    <w:p>
      <w:pPr>
        <w:pStyle w:val="BodyText"/>
      </w:pPr>
      <w:r>
        <w:t xml:space="preserve">ПОсмотрим результат настройки (рис. 22):</w:t>
      </w:r>
    </w:p>
    <w:bookmarkStart w:id="114" w:name="fig:022"/>
    <w:p>
      <w:pPr>
        <w:pStyle w:val="CaptionedFigure"/>
      </w:pPr>
      <w:r>
        <w:drawing>
          <wp:inline>
            <wp:extent cx="4267200" cy="3964155"/>
            <wp:effectExtent b="0" l="0" r="0" t="0"/>
            <wp:docPr descr="Рис. 22: Результат настройки VPN c помощью команды sh interfaces tunnel0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6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Результат настройки VPN c помощью команды</w:t>
      </w:r>
      <w:r>
        <w:t xml:space="preserve"> </w:t>
      </w:r>
      <w:r>
        <w:rPr>
          <w:rStyle w:val="VerbatimChar"/>
        </w:rPr>
        <w:t xml:space="preserve">sh interfaces tunnel0</w:t>
      </w:r>
    </w:p>
    <w:bookmarkEnd w:id="114"/>
    <w:p>
      <w:pPr>
        <w:pStyle w:val="BodyText"/>
      </w:pPr>
      <w:r>
        <w:t xml:space="preserve">ПРоверим доступность сети с лаптопа-админ в области Донская (рис. 23):</w:t>
      </w:r>
    </w:p>
    <w:bookmarkStart w:id="118" w:name="fig:023"/>
    <w:p>
      <w:pPr>
        <w:pStyle w:val="CaptionedFigure"/>
      </w:pPr>
      <w:r>
        <w:drawing>
          <wp:inline>
            <wp:extent cx="4215865" cy="3686475"/>
            <wp:effectExtent b="0" l="0" r="0" t="0"/>
            <wp:docPr descr="Рис. 23: Пингование сети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368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Пингование сети</w:t>
      </w:r>
    </w:p>
    <w:bookmarkEnd w:id="118"/>
    <w:p>
      <w:pPr>
        <w:pStyle w:val="BodyText"/>
      </w:pPr>
      <w:r>
        <w:t xml:space="preserve">Сеть доступна, все настрйоки проведены корректно.</w:t>
      </w:r>
    </w:p>
    <w:bookmarkEnd w:id="119"/>
    <w:bookmarkEnd w:id="120"/>
    <w:bookmarkStart w:id="121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VPN?</w:t>
      </w:r>
    </w:p>
    <w:p>
      <w:pPr>
        <w:pStyle w:val="FirstParagraph"/>
      </w:pPr>
      <w:r>
        <w:t xml:space="preserve">VPN (Virtual Private Network) — это технология, которая создает зашифрованное соединение между устройством пользователя и удаленным сервером. Это позволяет безопасно передавать данные через публичные сети (например, интернет), скрывать реальный IP-адрес и обходить географические ограничения. VPN часто используется для защиты конфиденциальности, доступа к корпоративным ресурсам и анонимного серфинга.</w:t>
      </w:r>
    </w:p>
    <w:p>
      <w:pPr>
        <w:pStyle w:val="Compact"/>
        <w:numPr>
          <w:ilvl w:val="0"/>
          <w:numId w:val="1003"/>
        </w:numPr>
      </w:pPr>
      <w:r>
        <w:t xml:space="preserve">В каких случаях следует использовать VPN?</w:t>
      </w:r>
      <w:r>
        <w:br/>
      </w:r>
      <w:r>
        <w:t xml:space="preserve">VPN полезен в следующих ситуациях: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Безопасность в публичных сетях</w:t>
      </w:r>
      <w:r>
        <w:t xml:space="preserve"> </w:t>
      </w:r>
      <w:r>
        <w:t xml:space="preserve">(например, в кафе или аэропорту) — защита от перехвата данных.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Доступ к заблокированным ресурсам</w:t>
      </w:r>
      <w:r>
        <w:t xml:space="preserve"> </w:t>
      </w:r>
      <w:r>
        <w:t xml:space="preserve">— обход региональных ограничений (например, для просмотра контента из других стран).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Удаленная работа</w:t>
      </w:r>
      <w:r>
        <w:t xml:space="preserve"> </w:t>
      </w:r>
      <w:r>
        <w:t xml:space="preserve">— безопасное подключение к корпоративной сети.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Анонимность</w:t>
      </w:r>
      <w:r>
        <w:t xml:space="preserve"> </w:t>
      </w:r>
      <w:r>
        <w:t xml:space="preserve">— скрытие реального IP-адреса от сайтов и трекеров.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Обход цензуры</w:t>
      </w:r>
      <w:r>
        <w:t xml:space="preserve"> </w:t>
      </w:r>
      <w:r>
        <w:t xml:space="preserve">— доступ к информации в странах с ограничениями интернета.</w:t>
      </w:r>
    </w:p>
    <w:p>
      <w:pPr>
        <w:pStyle w:val="Compact"/>
        <w:numPr>
          <w:ilvl w:val="0"/>
          <w:numId w:val="1005"/>
        </w:numPr>
      </w:pPr>
      <w:r>
        <w:t xml:space="preserve">Как с помощью VPN обойти NAT?</w:t>
      </w:r>
    </w:p>
    <w:p>
      <w:pPr>
        <w:pStyle w:val="FirstParagraph"/>
      </w:pPr>
      <w:r>
        <w:t xml:space="preserve">NAT (Network Address Translation) преобразует локальные IP-адреса в публичные, но может ограничивать прямое подключение извне. VPN помогает обойти NAT следующим образом: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Установка VPN-туннеля</w:t>
      </w:r>
      <w:r>
        <w:t xml:space="preserve"> </w:t>
      </w:r>
      <w:r>
        <w:t xml:space="preserve">— устройство за NAT подключается к VPN-серверу, создавая безопасный канал.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Сквозное соединение</w:t>
      </w:r>
      <w:r>
        <w:t xml:space="preserve"> </w:t>
      </w:r>
      <w:r>
        <w:t xml:space="preserve">— VPN-сервер выступает как посредник, позволяя внешним устройствам взаимодействовать с внутренними через зашифрованный туннель.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компьютер в локальной сети (за NAT) подключен к VPN, он получает виртуальный IP-адрес от сервера. Внешние запросы идут через этот адрес, минуя ограничения NAT.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Для обхода NAT также используются технологии вроде</w:t>
      </w:r>
      <w:r>
        <w:t xml:space="preserve"> </w:t>
      </w:r>
      <w:r>
        <w:rPr>
          <w:b/>
          <w:bCs/>
        </w:rPr>
        <w:t xml:space="preserve">Port Forwarding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UPnP</w:t>
      </w:r>
      <w:r>
        <w:t xml:space="preserve">, но VPN — более безопасный и универсальный способ.</w:t>
      </w:r>
    </w:p>
    <w:bookmarkEnd w:id="121"/>
    <w:bookmarkStart w:id="122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получила навыки настройки VPN-туннеля через незащищённое Интернет-</w:t>
      </w:r>
      <w:r>
        <w:t xml:space="preserve"> </w:t>
      </w:r>
      <w:r>
        <w:t xml:space="preserve">соединение.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30" Target="media/rId3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16. Настройка VPN</dc:title>
  <dc:creator>Абакумова Олеся Максимовна, НФИбд-02-22</dc:creator>
  <dc:language>ru-RU</dc:language>
  <cp:keywords/>
  <dcterms:created xsi:type="dcterms:W3CDTF">2025-05-30T13:36:10Z</dcterms:created>
  <dcterms:modified xsi:type="dcterms:W3CDTF">2025-05-30T13:36:10Z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