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46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11. Настройка NAT. Планирование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схему подсоединения локальной сети к Интернету.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модельные сети провайдера и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схемы сетей L1, L2, L3.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Network Address Translation (NAT) — механизм преобразования IP-адресов</w:t>
      </w:r>
      <w:r>
        <w:t xml:space="preserve"> </w:t>
      </w:r>
      <w:r>
        <w:t xml:space="preserve">транзитных пакетов.</w:t>
      </w:r>
      <w:r>
        <w:t xml:space="preserve"> </w:t>
      </w:r>
      <w:r>
        <w:t xml:space="preserve">В частности, механизм NAT используется для обеспечения доступа устройств</w:t>
      </w:r>
      <w:r>
        <w:t xml:space="preserve"> </w:t>
      </w:r>
      <w:r>
        <w:t xml:space="preserve">локальных сетей с внутренними IP-адресами к сети Интернет (рис. 1):</w:t>
      </w:r>
    </w:p>
    <w:bookmarkStart w:id="25" w:name="fig:001"/>
    <w:p>
      <w:pPr>
        <w:pStyle w:val="CaptionedFigure"/>
      </w:pPr>
      <w:r>
        <w:drawing>
          <wp:inline>
            <wp:extent cx="4267200" cy="3550620"/>
            <wp:effectExtent b="0" l="0" r="0" t="0"/>
            <wp:docPr descr="Рис. 1: Схема сети с NAT" title="" id="23" name="Picture"/>
            <a:graphic>
              <a:graphicData uri="http://schemas.openxmlformats.org/drawingml/2006/picture">
                <pic:pic>
                  <pic:nvPicPr>
                    <pic:cNvPr descr="image/NA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0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с NAT</w:t>
      </w:r>
    </w:p>
    <w:bookmarkEnd w:id="25"/>
    <w:p>
      <w:pPr>
        <w:pStyle w:val="BodyText"/>
      </w:pPr>
      <w:r>
        <w:t xml:space="preserve">Типы NAT:</w:t>
      </w:r>
      <w:r>
        <w:t xml:space="preserve"> </w:t>
      </w:r>
      <w:r>
        <w:t xml:space="preserve">- статический NAT (Static NAT, SNAT) — осуществляет преобразование адресов по принципу 1:1 (в частности, один локальный IP-адрес преобразуется</w:t>
      </w:r>
      <w:r>
        <w:t xml:space="preserve"> </w:t>
      </w:r>
      <w:r>
        <w:t xml:space="preserve">во внешний адрес, выделенный, например, провайдером);</w:t>
      </w:r>
      <w:r>
        <w:t xml:space="preserve"> </w:t>
      </w:r>
      <w:r>
        <w:t xml:space="preserve">- динамический NAT (Dynamic NAT, DNAT) — осуществляет преобразование</w:t>
      </w:r>
      <w:r>
        <w:t xml:space="preserve"> </w:t>
      </w:r>
      <w:r>
        <w:t xml:space="preserve">адресов по принципу 1:N (например, один адрес устройства локальной сети</w:t>
      </w:r>
      <w:r>
        <w:t xml:space="preserve"> </w:t>
      </w:r>
      <w:r>
        <w:t xml:space="preserve">преобразуется в один из адресов диапазона внешних адресов);</w:t>
      </w:r>
      <w:r>
        <w:t xml:space="preserve"> </w:t>
      </w:r>
      <w:r>
        <w:t xml:space="preserve">- NAT Overload (или NAT Masquerading, или Port Address Translation, PAT) —</w:t>
      </w:r>
      <w:r>
        <w:t xml:space="preserve"> </w:t>
      </w:r>
      <w:r>
        <w:t xml:space="preserve">осуществляет преобразование адресов по принципу N:1 (например, адреса</w:t>
      </w:r>
      <w:r>
        <w:t xml:space="preserve"> </w:t>
      </w:r>
      <w:r>
        <w:t xml:space="preserve">группы устройств локальной подсети преобразуются в один внешний адрес,</w:t>
      </w:r>
      <w:r>
        <w:t xml:space="preserve"> </w:t>
      </w:r>
      <w:r>
        <w:t xml:space="preserve">при этом дополнительно используется механизм адресации через номера</w:t>
      </w:r>
      <w:r>
        <w:t xml:space="preserve"> </w:t>
      </w:r>
      <w:r>
        <w:t xml:space="preserve">портов).</w:t>
      </w:r>
    </w:p>
    <w:bookmarkEnd w:id="26"/>
    <w:bookmarkStart w:id="13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Модельные предположения:</w:t>
      </w:r>
      <w:r>
        <w:t xml:space="preserve"> </w:t>
      </w:r>
      <w:r>
        <w:t xml:space="preserve">- В сети провайдера располагаются 2 медиаконвертера provider-mc-1</w:t>
      </w:r>
      <w:r>
        <w:t xml:space="preserve"> </w:t>
      </w:r>
      <w:r>
        <w:t xml:space="preserve">и provider-mc-2 для связи с подсетью «Донская» и сетью модельного</w:t>
      </w:r>
      <w:r>
        <w:t xml:space="preserve"> </w:t>
      </w:r>
      <w:r>
        <w:t xml:space="preserve">Интернета, маршрутизатор provider-gw-1 и коммутатор provider-sw-1.</w:t>
      </w:r>
      <w:r>
        <w:t xml:space="preserve"> </w:t>
      </w:r>
      <w:r>
        <w:t xml:space="preserve">Оборудование соединяется между собой по Fast Ethernet согласно схеме</w:t>
      </w:r>
      <w:r>
        <w:t xml:space="preserve"> </w:t>
      </w:r>
      <w:r>
        <w:t xml:space="preserve">(рис. 11.2).</w:t>
      </w:r>
      <w:r>
        <w:t xml:space="preserve"> </w:t>
      </w:r>
      <w:r>
        <w:t xml:space="preserve">- В модельной сети Интернет располагаются 4 сервера www.yandex.ru,</w:t>
      </w:r>
      <w:r>
        <w:t xml:space="preserve"> </w:t>
      </w:r>
      <w:r>
        <w:t xml:space="preserve">www.rudn.ru, stud.rudn.university и esystem.pfur.ru, коммутатор</w:t>
      </w:r>
      <w:r>
        <w:t xml:space="preserve"> </w:t>
      </w:r>
      <w:r>
        <w:t xml:space="preserve">internet-sw-1 и медиаконвертер internet-mc-1 для связи с сетью провайдера. Серверы подключены к коммутатору посредством Fast Ethernet,</w:t>
      </w:r>
      <w:r>
        <w:t xml:space="preserve"> </w:t>
      </w:r>
      <w:r>
        <w:t xml:space="preserve">коммутатор подсоединён к медиаконвертеру также по Fast Ethernet.</w:t>
      </w:r>
      <w:r>
        <w:t xml:space="preserve"> </w:t>
      </w:r>
      <w:r>
        <w:t xml:space="preserve">- Имена и адреса серверам Интернета и маршрутизатору провайдера задаются согласно табл. 11.1. При этом учитывается, что под сеть адресов</w:t>
      </w:r>
      <w:r>
        <w:t xml:space="preserve"> </w:t>
      </w:r>
      <w:r>
        <w:t xml:space="preserve">модельного Интернета выделяется адрес 192.0.2.0/24, а под сеть провайдера — 198.51.100.1</w:t>
      </w:r>
    </w:p>
    <w:bookmarkStart w:id="27" w:name="tbl:ip"/>
    <w:p>
      <w:pPr>
        <w:pStyle w:val="TableCaption"/>
      </w:pPr>
      <w:r>
        <w:t xml:space="preserve">Таблица 1: Распределение ip-адресов модельного Интернета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Распределение ip-адресов модельного Интернет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</w:t>
            </w:r>
          </w:p>
        </w:tc>
        <w:tc>
          <w:tcPr/>
          <w:p>
            <w:pPr>
              <w:pStyle w:val="Compact"/>
            </w:pPr>
            <w:r>
              <w:t xml:space="preserve">provider-gw-1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192.0.2.11</w:t>
            </w:r>
          </w:p>
        </w:tc>
        <w:tc>
          <w:tcPr/>
          <w:p>
            <w:pPr>
              <w:pStyle w:val="Compact"/>
            </w:pPr>
            <w:r>
              <w:t xml:space="preserve">www.yandex.ru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192.0.2.12</w:t>
            </w:r>
          </w:p>
        </w:tc>
        <w:tc>
          <w:tcPr/>
          <w:p>
            <w:pPr>
              <w:pStyle w:val="Compact"/>
            </w:pPr>
            <w:r>
              <w:t xml:space="preserve">stud.rudn.university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192.0.2.13</w:t>
            </w:r>
          </w:p>
        </w:tc>
        <w:tc>
          <w:tcPr/>
          <w:p>
            <w:pPr>
              <w:pStyle w:val="Compact"/>
            </w:pPr>
            <w:r>
              <w:t xml:space="preserve">esystem.pfur.ru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192.0.2.14</w:t>
            </w:r>
          </w:p>
        </w:tc>
        <w:tc>
          <w:tcPr/>
          <w:p>
            <w:pPr>
              <w:pStyle w:val="Compact"/>
            </w:pPr>
            <w:r>
              <w:t xml:space="preserve">www.rudn.ru</w:t>
            </w:r>
          </w:p>
        </w:tc>
      </w:tr>
    </w:tbl>
    <w:bookmarkEnd w:id="27"/>
    <w:p>
      <w:pPr>
        <w:pStyle w:val="BodyText"/>
      </w:pPr>
      <w:r>
        <w:t xml:space="preserve">ВнесЕМ изменения в схему L1 сети, добавив в неё сеть провайдера и сеть</w:t>
      </w:r>
      <w:r>
        <w:t xml:space="preserve"> </w:t>
      </w:r>
      <w:r>
        <w:t xml:space="preserve">модельного Интернета с указанием названий оборудования и портов подключения.</w:t>
      </w:r>
      <w:r>
        <w:t xml:space="preserve"> </w:t>
      </w:r>
      <w:r>
        <w:t xml:space="preserve">Внесем также изменения в схемы L2 и L3 сети, указав адреса и VLAN сети провайдера и модельной сети Интернета. Скорректируем таблицы распределения</w:t>
      </w:r>
      <w:r>
        <w:t xml:space="preserve"> </w:t>
      </w:r>
      <w:r>
        <w:t xml:space="preserve">IP-адресов и портов (рис. 2):</w:t>
      </w:r>
    </w:p>
    <w:bookmarkStart w:id="31" w:name="fig:002"/>
    <w:p>
      <w:pPr>
        <w:pStyle w:val="CaptionedFigure"/>
      </w:pPr>
      <w:r>
        <w:drawing>
          <wp:inline>
            <wp:extent cx="4267200" cy="4715861"/>
            <wp:effectExtent b="0" l="0" r="0" t="0"/>
            <wp:docPr descr="Рис. 2: Схема L1" title="" id="29" name="Picture"/>
            <a:graphic>
              <a:graphicData uri="http://schemas.openxmlformats.org/drawingml/2006/picture">
                <pic:pic>
                  <pic:nvPicPr>
                    <pic:cNvPr descr="image/L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1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L1</w:t>
      </w:r>
    </w:p>
    <w:bookmarkEnd w:id="31"/>
    <w:bookmarkStart w:id="35" w:name="fig:003"/>
    <w:p>
      <w:pPr>
        <w:pStyle w:val="CaptionedFigure"/>
      </w:pPr>
      <w:r>
        <w:drawing>
          <wp:inline>
            <wp:extent cx="4267200" cy="4538679"/>
            <wp:effectExtent b="0" l="0" r="0" t="0"/>
            <wp:docPr descr="Рис. 3: Схема L2" title="" id="33" name="Picture"/>
            <a:graphic>
              <a:graphicData uri="http://schemas.openxmlformats.org/drawingml/2006/picture">
                <pic:pic>
                  <pic:nvPicPr>
                    <pic:cNvPr descr="image/L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L2</w:t>
      </w:r>
    </w:p>
    <w:bookmarkEnd w:id="35"/>
    <w:bookmarkStart w:id="39" w:name="fig:004"/>
    <w:p>
      <w:pPr>
        <w:pStyle w:val="CaptionedFigure"/>
      </w:pPr>
      <w:r>
        <w:drawing>
          <wp:inline>
            <wp:extent cx="4267200" cy="4323071"/>
            <wp:effectExtent b="0" l="0" r="0" t="0"/>
            <wp:docPr descr="Рис. 4: Схема L3" title="" id="37" name="Picture"/>
            <a:graphic>
              <a:graphicData uri="http://schemas.openxmlformats.org/drawingml/2006/picture">
                <pic:pic>
                  <pic:nvPicPr>
                    <pic:cNvPr descr="image/L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2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Схема L3</w:t>
      </w:r>
    </w:p>
    <w:bookmarkEnd w:id="39"/>
    <w:bookmarkStart w:id="40" w:name="tbl:port"/>
    <w:p>
      <w:pPr>
        <w:pStyle w:val="TableCaption"/>
      </w:pPr>
      <w:r>
        <w:t xml:space="preserve">Таблица 2: Таблица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Таблица портов"/>
      </w:tblPr>
      <w:tblGrid>
        <w:gridCol w:w="1777"/>
        <w:gridCol w:w="1212"/>
        <w:gridCol w:w="1777"/>
        <w:gridCol w:w="1050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Access VLAN</w:t>
            </w:r>
          </w:p>
        </w:tc>
        <w:tc>
          <w:tcPr/>
          <w:p>
            <w:pPr>
              <w:pStyle w:val="Compac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f0/20 — f0/23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File-server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Mail-server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f0/20 — f0/23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msk-donskaya-mc-2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msk-pavlovskaya-mc-1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msk-pavlovskaya-mc-1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admin-pavlovskaya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msk-donskaya-mc-2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f0/3</w:t>
            </w:r>
          </w:p>
        </w:tc>
        <w:tc>
          <w:tcPr/>
          <w:p>
            <w:pPr>
              <w:pStyle w:val="Compact"/>
            </w:pPr>
            <w:r>
              <w:t xml:space="preserve">www.rudn.ru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f0/4</w:t>
            </w:r>
          </w:p>
        </w:tc>
        <w:tc>
          <w:tcPr/>
          <w:p>
            <w:pPr>
              <w:pStyle w:val="Compac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f0/5</w:t>
            </w:r>
          </w:p>
        </w:tc>
        <w:tc>
          <w:tcPr/>
          <w:p>
            <w:pPr>
              <w:pStyle w:val="Compac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tbl:ipplan"/>
    <w:p>
      <w:pPr>
        <w:pStyle w:val="TableCaption"/>
      </w:pPr>
      <w:r>
        <w:t xml:space="preserve">Таблица 3: Таблица IP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: Таблица IP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</w:pPr>
            <w:r>
              <w:t xml:space="preserve">Cеть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192.0.2.1</w:t>
            </w:r>
          </w:p>
        </w:tc>
        <w:tc>
          <w:tcPr/>
          <w:p>
            <w:pPr>
              <w:pStyle w:val="Compac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192.0.2.11</w:t>
            </w:r>
          </w:p>
        </w:tc>
        <w:tc>
          <w:tcPr/>
          <w:p>
            <w:pPr>
              <w:pStyle w:val="Compac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192.0.2.12</w:t>
            </w:r>
          </w:p>
        </w:tc>
        <w:tc>
          <w:tcPr/>
          <w:p>
            <w:pPr>
              <w:pStyle w:val="Compac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192.0.2.13</w:t>
            </w:r>
          </w:p>
        </w:tc>
        <w:tc>
          <w:tcPr/>
          <w:p>
            <w:pPr>
              <w:pStyle w:val="Compac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192.0.2.14</w:t>
            </w:r>
          </w:p>
        </w:tc>
        <w:tc>
          <w:tcPr/>
          <w:p>
            <w:pPr>
              <w:pStyle w:val="Compact"/>
            </w:pPr>
            <w:r>
              <w:t xml:space="preserve">www.rudn.ru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41"/>
    <w:p>
      <w:pPr>
        <w:pStyle w:val="BodyText"/>
      </w:pPr>
      <w:r>
        <w:t xml:space="preserve">На схеме предыдущего нашего проекта разместим согласно необходимое оборудование для сети провайдера и сети модельного Интернета:</w:t>
      </w:r>
      <w:r>
        <w:t xml:space="preserve"> </w:t>
      </w:r>
      <w:r>
        <w:t xml:space="preserve">4 медиаконвертера (Repeater-PT), 2 коммутатора типа Cisco 2960-24TT,</w:t>
      </w:r>
      <w:r>
        <w:t xml:space="preserve"> </w:t>
      </w:r>
      <w:r>
        <w:t xml:space="preserve">маршрутизатор типа Cisco 2811, 4 сервера.</w:t>
      </w:r>
      <w:r>
        <w:t xml:space="preserve"> </w:t>
      </w:r>
      <w:r>
        <w:t xml:space="preserve">Присвоим названия размещённым в сети провайдера и в сети модельного</w:t>
      </w:r>
      <w:r>
        <w:t xml:space="preserve"> </w:t>
      </w:r>
      <w:r>
        <w:t xml:space="preserve">Интернета объектам согласно модельным предположениям и схеме L1 (рис. 5):</w:t>
      </w:r>
    </w:p>
    <w:bookmarkStart w:id="45" w:name="fig:005"/>
    <w:p>
      <w:pPr>
        <w:pStyle w:val="CaptionedFigure"/>
      </w:pPr>
      <w:r>
        <w:drawing>
          <wp:inline>
            <wp:extent cx="4267200" cy="4728897"/>
            <wp:effectExtent b="0" l="0" r="0" t="0"/>
            <wp:docPr descr="Рис. 5: Размещение необходимого оборудования" title="" id="43" name="Picture"/>
            <a:graphic>
              <a:graphicData uri="http://schemas.openxmlformats.org/drawingml/2006/picture">
                <pic:pic>
                  <pic:nvPicPr>
                    <pic:cNvPr descr="image/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28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Размещение необходимого оборудования</w:t>
      </w:r>
    </w:p>
    <w:bookmarkEnd w:id="45"/>
    <w:p>
      <w:pPr>
        <w:pStyle w:val="BodyText"/>
      </w:pPr>
      <w:r>
        <w:t xml:space="preserve">Пока что никаких соединений нет.Но итоговая схема сети по которой нуно ориентироваться выглядит следующим образом (рис. 6):</w:t>
      </w:r>
    </w:p>
    <w:bookmarkStart w:id="49" w:name="fig:006"/>
    <w:p>
      <w:pPr>
        <w:pStyle w:val="CaptionedFigure"/>
      </w:pPr>
      <w:r>
        <w:drawing>
          <wp:inline>
            <wp:extent cx="4267200" cy="4214246"/>
            <wp:effectExtent b="0" l="0" r="0" t="0"/>
            <wp:docPr descr="Рис. 6: Схема сети с выходом в Интернет" title="" id="47" name="Picture"/>
            <a:graphic>
              <a:graphicData uri="http://schemas.openxmlformats.org/drawingml/2006/picture">
                <pic:pic>
                  <pic:nvPicPr>
                    <pic:cNvPr descr="image/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1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Схема сети с выходом в Интернет</w:t>
      </w:r>
    </w:p>
    <w:bookmarkEnd w:id="49"/>
    <w:p>
      <w:pPr>
        <w:pStyle w:val="BodyText"/>
      </w:pPr>
      <w:r>
        <w:t xml:space="preserve">В физической рабочей области добавим здание провайдера и здание,</w:t>
      </w:r>
      <w:r>
        <w:t xml:space="preserve"> </w:t>
      </w:r>
      <w:r>
        <w:t xml:space="preserve">имитирующее расположение серверов модельного Интернета.</w:t>
      </w:r>
      <w:r>
        <w:t xml:space="preserve"> </w:t>
      </w:r>
      <w:r>
        <w:t xml:space="preserve">Присвоим им соответствующие названия (рис. 7):</w:t>
      </w:r>
    </w:p>
    <w:bookmarkStart w:id="53" w:name="fig:007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7: Создание здания Provider" title="" id="51" name="Picture"/>
            <a:graphic>
              <a:graphicData uri="http://schemas.openxmlformats.org/drawingml/2006/picture">
                <pic:pic>
                  <pic:nvPicPr>
                    <pic:cNvPr descr="image/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здания Provider</w:t>
      </w:r>
    </w:p>
    <w:bookmarkEnd w:id="53"/>
    <w:bookmarkStart w:id="57" w:name="fig:008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8: Создание здания Internet" title="" id="55" name="Picture"/>
            <a:graphic>
              <a:graphicData uri="http://schemas.openxmlformats.org/drawingml/2006/picture">
                <pic:pic>
                  <pic:nvPicPr>
                    <pic:cNvPr descr="image/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здания Internet</w:t>
      </w:r>
    </w:p>
    <w:bookmarkEnd w:id="57"/>
    <w:p>
      <w:pPr>
        <w:pStyle w:val="BodyText"/>
      </w:pPr>
      <w:r>
        <w:t xml:space="preserve">Перенесем из сети «Донская» оборудование провайдера и модельной сети Интернета в соответствующие здания. Перенесем все репитеры на их место (рис. 9):</w:t>
      </w:r>
    </w:p>
    <w:bookmarkStart w:id="61" w:name="fig:009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9: Перенос репитера" title="" id="59" name="Picture"/>
            <a:graphic>
              <a:graphicData uri="http://schemas.openxmlformats.org/drawingml/2006/picture">
                <pic:pic>
                  <pic:nvPicPr>
                    <pic:cNvPr descr="image/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Перенос репитера</w:t>
      </w:r>
    </w:p>
    <w:bookmarkEnd w:id="61"/>
    <w:p>
      <w:pPr>
        <w:pStyle w:val="BodyText"/>
      </w:pPr>
      <w:r>
        <w:t xml:space="preserve">Аналогичным бразом перенесем все сервера и прочее оборудование которые не принадлежат Донской (рис. 10):</w:t>
      </w:r>
    </w:p>
    <w:bookmarkStart w:id="65" w:name="fig:011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10: Перенос сервера" title="" id="63" name="Picture"/>
            <a:graphic>
              <a:graphicData uri="http://schemas.openxmlformats.org/drawingml/2006/picture">
                <pic:pic>
                  <pic:nvPicPr>
                    <pic:cNvPr descr="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Перенос сервера</w:t>
      </w:r>
    </w:p>
    <w:bookmarkEnd w:id="65"/>
    <w:p>
      <w:pPr>
        <w:pStyle w:val="BodyText"/>
      </w:pPr>
      <w:r>
        <w:t xml:space="preserve">Перенесем таким же образом то,что осталось (рис. 11):</w:t>
      </w:r>
    </w:p>
    <w:bookmarkStart w:id="69" w:name="fig:012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11: Перенос коммутатора" title="" id="67" name="Picture"/>
            <a:graphic>
              <a:graphicData uri="http://schemas.openxmlformats.org/drawingml/2006/picture">
                <pic:pic>
                  <pic:nvPicPr>
                    <pic:cNvPr descr="image/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Перенос коммутатора</w:t>
      </w:r>
    </w:p>
    <w:bookmarkEnd w:id="69"/>
    <w:bookmarkStart w:id="73" w:name="fig:014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12: Перенос маршрутизатора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Перенос маршрутизатора</w:t>
      </w:r>
    </w:p>
    <w:bookmarkEnd w:id="73"/>
    <w:p>
      <w:pPr>
        <w:pStyle w:val="BodyText"/>
      </w:pPr>
      <w:r>
        <w:t xml:space="preserve">На медиаконвертерах заменим имеющиеся модули на PT-REPEATER-</w:t>
      </w:r>
      <w:r>
        <w:t xml:space="preserve"> </w:t>
      </w:r>
      <w:r>
        <w:t xml:space="preserve">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 (рис. 13):</w:t>
      </w:r>
    </w:p>
    <w:bookmarkStart w:id="77" w:name="fig:015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13: Замена на msk-donskaya-omabakumova-mc-2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Замена на msk-donskaya-omabakumova-mc-2</w:t>
      </w:r>
    </w:p>
    <w:bookmarkEnd w:id="77"/>
    <w:bookmarkStart w:id="81" w:name="fig:016"/>
    <w:p>
      <w:pPr>
        <w:pStyle w:val="CaptionedFigure"/>
      </w:pPr>
      <w:r>
        <w:drawing>
          <wp:inline>
            <wp:extent cx="4267200" cy="1870233"/>
            <wp:effectExtent b="0" l="0" r="0" t="0"/>
            <wp:docPr descr="Рис. 14: Замена на provider-omabakumova-mc-1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Замена на provider-omabakumova-mc-1</w:t>
      </w:r>
    </w:p>
    <w:bookmarkEnd w:id="81"/>
    <w:bookmarkStart w:id="85" w:name="fig:017"/>
    <w:p>
      <w:pPr>
        <w:pStyle w:val="CaptionedFigure"/>
      </w:pPr>
      <w:r>
        <w:drawing>
          <wp:inline>
            <wp:extent cx="4267200" cy="1599245"/>
            <wp:effectExtent b="0" l="0" r="0" t="0"/>
            <wp:docPr descr="Рис. 15: Замена на provider-omabakumova-mc-2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9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Замена на provider-omabakumova-mc-2</w:t>
      </w:r>
    </w:p>
    <w:bookmarkEnd w:id="85"/>
    <w:bookmarkStart w:id="89" w:name="fig:018"/>
    <w:p>
      <w:pPr>
        <w:pStyle w:val="CaptionedFigure"/>
      </w:pPr>
      <w:r>
        <w:drawing>
          <wp:inline>
            <wp:extent cx="4267200" cy="1599245"/>
            <wp:effectExtent b="0" l="0" r="0" t="0"/>
            <wp:docPr descr="Рис. 16: Замена на internet-omabakumova-mc-1" title="" id="87" name="Picture"/>
            <a:graphic>
              <a:graphicData uri="http://schemas.openxmlformats.org/drawingml/2006/picture">
                <pic:pic>
                  <pic:nvPicPr>
                    <pic:cNvPr descr="image/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9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Замена на internet-omabakumova-mc-1</w:t>
      </w:r>
    </w:p>
    <w:bookmarkEnd w:id="89"/>
    <w:p>
      <w:pPr>
        <w:pStyle w:val="BodyText"/>
      </w:pPr>
      <w:r>
        <w:t xml:space="preserve">Проверим как разместилось все в физической рабочей области (рис. 17):</w:t>
      </w:r>
    </w:p>
    <w:bookmarkStart w:id="93" w:name="fig:019"/>
    <w:p>
      <w:pPr>
        <w:pStyle w:val="CaptionedFigure"/>
      </w:pPr>
      <w:r>
        <w:drawing>
          <wp:inline>
            <wp:extent cx="4267200" cy="2848665"/>
            <wp:effectExtent b="0" l="0" r="0" t="0"/>
            <wp:docPr descr="Рис. 17: Физическая рабочая область" title="" id="91" name="Picture"/>
            <a:graphic>
              <a:graphicData uri="http://schemas.openxmlformats.org/drawingml/2006/picture">
                <pic:pic>
                  <pic:nvPicPr>
                    <pic:cNvPr descr="image/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Физическая рабочая область</w:t>
      </w:r>
    </w:p>
    <w:bookmarkEnd w:id="93"/>
    <w:bookmarkStart w:id="97" w:name="fig:020"/>
    <w:p>
      <w:pPr>
        <w:pStyle w:val="CaptionedFigure"/>
      </w:pPr>
      <w:r>
        <w:drawing>
          <wp:inline>
            <wp:extent cx="4267200" cy="2088204"/>
            <wp:effectExtent b="0" l="0" r="0" t="0"/>
            <wp:docPr descr="Рис. 18: Provider в физической рабочей области" title="" id="95" name="Picture"/>
            <a:graphic>
              <a:graphicData uri="http://schemas.openxmlformats.org/drawingml/2006/picture">
                <pic:pic>
                  <pic:nvPicPr>
                    <pic:cNvPr descr="image/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88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Provider в физической рабочей области</w:t>
      </w:r>
    </w:p>
    <w:bookmarkEnd w:id="97"/>
    <w:p>
      <w:pPr>
        <w:pStyle w:val="BodyText"/>
      </w:pPr>
      <w:r>
        <w:t xml:space="preserve">Проведя соединение объектов согласно скорректированной нами схеме L1, мы как раз и получим то, что указано на иллюстрации (рис. 6).</w:t>
      </w:r>
      <w:r>
        <w:t xml:space="preserve"> </w:t>
      </w:r>
      <w:r>
        <w:t xml:space="preserve">Пропишите IP-адреса серверам согласно таблице 1:</w:t>
      </w:r>
    </w:p>
    <w:bookmarkStart w:id="101" w:name="fig:021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19: Прописание IP-адреса для www.yandex.ru" title="" id="99" name="Picture"/>
            <a:graphic>
              <a:graphicData uri="http://schemas.openxmlformats.org/drawingml/2006/picture">
                <pic:pic>
                  <pic:nvPicPr>
                    <pic:cNvPr descr="image/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Прописание IP-адреса для www.yandex.ru</w:t>
      </w:r>
    </w:p>
    <w:bookmarkEnd w:id="101"/>
    <w:bookmarkStart w:id="105" w:name="fig:022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0: Прописание IP-адреса для www.yandex.ru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Прописание IP-адреса для www.yandex.ru</w:t>
      </w:r>
    </w:p>
    <w:bookmarkEnd w:id="105"/>
    <w:bookmarkStart w:id="109" w:name="fig:023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1: Прописание IP-адреса для stud.rudn.university" title="" id="107" name="Picture"/>
            <a:graphic>
              <a:graphicData uri="http://schemas.openxmlformats.org/drawingml/2006/picture">
                <pic:pic>
                  <pic:nvPicPr>
                    <pic:cNvPr descr="image/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Прописание IP-адреса для stud.rudn.university</w:t>
      </w:r>
    </w:p>
    <w:bookmarkEnd w:id="109"/>
    <w:bookmarkStart w:id="113" w:name="fig:024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2: Прописание IP-адреса для stud.rudn.university" title="" id="111" name="Picture"/>
            <a:graphic>
              <a:graphicData uri="http://schemas.openxmlformats.org/drawingml/2006/picture">
                <pic:pic>
                  <pic:nvPicPr>
                    <pic:cNvPr descr="image/2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Прописание IP-адреса для stud.rudn.university</w:t>
      </w:r>
    </w:p>
    <w:bookmarkEnd w:id="113"/>
    <w:bookmarkStart w:id="117" w:name="fig:025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3: Прописание IP-адреса для esystem.pfur.ru" title="" id="115" name="Picture"/>
            <a:graphic>
              <a:graphicData uri="http://schemas.openxmlformats.org/drawingml/2006/picture">
                <pic:pic>
                  <pic:nvPicPr>
                    <pic:cNvPr descr="image/2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Прописание IP-адреса для esystem.pfur.ru</w:t>
      </w:r>
    </w:p>
    <w:bookmarkEnd w:id="117"/>
    <w:bookmarkStart w:id="121" w:name="fig:026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4: Прописание IP-адреса для esystem.pfur.ru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Прописание IP-адреса для esystem.pfur.ru</w:t>
      </w:r>
    </w:p>
    <w:bookmarkEnd w:id="121"/>
    <w:bookmarkStart w:id="125" w:name="fig:027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5: Прописание IP-адреса для www.rudn.ru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Прописание IP-адреса для www.rudn.ru</w:t>
      </w:r>
    </w:p>
    <w:bookmarkEnd w:id="125"/>
    <w:bookmarkStart w:id="129" w:name="fig:028"/>
    <w:p>
      <w:pPr>
        <w:pStyle w:val="CaptionedFigure"/>
      </w:pPr>
      <w:r>
        <w:drawing>
          <wp:inline>
            <wp:extent cx="4267200" cy="3480816"/>
            <wp:effectExtent b="0" l="0" r="0" t="0"/>
            <wp:docPr descr="Рис. 26: Прописание IP-адреса для www.rudn.ru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Прописание IP-адреса для www.rudn.ru</w:t>
      </w:r>
    </w:p>
    <w:bookmarkEnd w:id="129"/>
    <w:p>
      <w:pPr>
        <w:pStyle w:val="BodyText"/>
      </w:pPr>
      <w:r>
        <w:t xml:space="preserve">Пропишем сведения о серверах на DNS-сервере сети «Донская» (рис. 27):</w:t>
      </w:r>
    </w:p>
    <w:bookmarkStart w:id="133" w:name="fig:029"/>
    <w:p>
      <w:pPr>
        <w:pStyle w:val="CaptionedFigure"/>
      </w:pPr>
      <w:r>
        <w:drawing>
          <wp:inline>
            <wp:extent cx="4267200" cy="1410560"/>
            <wp:effectExtent b="0" l="0" r="0" t="0"/>
            <wp:docPr descr="Рис. 27: Прописание сведений о серверах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1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Прописание сведений о серверах</w:t>
      </w:r>
    </w:p>
    <w:bookmarkEnd w:id="133"/>
    <w:bookmarkEnd w:id="134"/>
    <w:bookmarkStart w:id="13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Network Address Translation (NAT)?</w:t>
      </w:r>
    </w:p>
    <w:p>
      <w:pPr>
        <w:pStyle w:val="FirstParagraph"/>
      </w:pPr>
      <w:r>
        <w:t xml:space="preserve">Network Address Translation (NAT) — это метод, используемый в сетевых технологиях для преобразования частных IP-адресов в публичные и наоборот. Он позволяет нескольким устройствам в локальной сети использовать один публичный IP-адрес для доступа в интернет, обеспечивая при этом безопасность и экономию адресного пространства.</w:t>
      </w:r>
    </w:p>
    <w:p>
      <w:pPr>
        <w:pStyle w:val="Compact"/>
        <w:numPr>
          <w:ilvl w:val="0"/>
          <w:numId w:val="1003"/>
        </w:numPr>
      </w:pPr>
      <w:r>
        <w:t xml:space="preserve">Как определить, находится ли узел сети за NAT?</w:t>
      </w:r>
    </w:p>
    <w:p>
      <w:pPr>
        <w:pStyle w:val="FirstParagraph"/>
      </w:pPr>
      <w:r>
        <w:t xml:space="preserve">Чтобы определить, находится ли узел сети за NAT, можно использовать различные методы, такие как проверка IP-адреса, который видит узел в интернете. Если внешний IP-адрес отличается от локального IP-адреса, значит, узел находится за NAT. Также можно воспользоваться специализированными инструментами и сервисами для проверки NAT.</w:t>
      </w:r>
    </w:p>
    <w:p>
      <w:pPr>
        <w:pStyle w:val="Compact"/>
        <w:numPr>
          <w:ilvl w:val="0"/>
          <w:numId w:val="1004"/>
        </w:numPr>
      </w:pPr>
      <w:r>
        <w:t xml:space="preserve">Какое оборудование отвечает за преобразование адреса методом NAT?</w:t>
      </w:r>
    </w:p>
    <w:p>
      <w:pPr>
        <w:pStyle w:val="FirstParagraph"/>
      </w:pPr>
      <w:r>
        <w:t xml:space="preserve">За преобразование адреса методом NAT обычно отвечает маршрутизатор или брандмауэр. Эти устройства управляют трафиком между локальной сетью и интернетом, выполняя преобразование IP-адресов и портов.</w:t>
      </w:r>
    </w:p>
    <w:p>
      <w:pPr>
        <w:pStyle w:val="Compact"/>
        <w:numPr>
          <w:ilvl w:val="0"/>
          <w:numId w:val="1005"/>
        </w:numPr>
      </w:pPr>
      <w:r>
        <w:t xml:space="preserve">В чём отличие статического, динамического и перегруженного NAT?</w:t>
      </w:r>
    </w:p>
    <w:p>
      <w:pPr>
        <w:pStyle w:val="FirstParagraph"/>
      </w:pPr>
      <w:r>
        <w:t xml:space="preserve">Статический NAT устанавливает постоянное соответствие между локальным и публичным IP-адресом, что позволяет обеспечить доступ к устройству из интернета по фиксированному адресу. Динамический NAT использует пул публичных адресов и назначает их устройствам по мере необходимости, что позволяет более эффективно использовать адресное пространство. Перегруженный NAT (или PAT — Port Address Translation) позволяет нескольким устройствам в локальной сети использовать один публичный IP-адрес, различая их по номерам портов.</w:t>
      </w:r>
    </w:p>
    <w:p>
      <w:pPr>
        <w:pStyle w:val="Compact"/>
        <w:numPr>
          <w:ilvl w:val="0"/>
          <w:numId w:val="1006"/>
        </w:numPr>
      </w:pPr>
      <w:r>
        <w:t xml:space="preserve">Охарактеризуйте типы NAT.</w:t>
      </w:r>
    </w:p>
    <w:p>
      <w:pPr>
        <w:pStyle w:val="FirstParagraph"/>
      </w:pPr>
      <w:r>
        <w:t xml:space="preserve">Существует несколько типов NAT: статический NAT, динамический NAT и перегруженный NAT (PAT). Статический NAT обеспечивает постоянное соответствие между локальным и публичным адресами, динамический NAT назначает адреса из пула на временной основе, а перегруженный NAT позволяет множеству устройств использовать один публичный адрес, различая их по портам. Также выделяют такие варианты, как NAT с перекрытием и обратный NAT, которые имеют свои особенности в работе с трафиком и адресами.</w:t>
      </w:r>
    </w:p>
    <w:bookmarkEnd w:id="135"/>
    <w:bookmarkStart w:id="13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провела подготовительные мероприятия по подключению локальной сети организации к Интернету.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46" Target="media/rId46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11. Настройка NAT. Планирование</dc:title>
  <dc:creator>Абакумова Олеся Максимовна, НФИбд-02-22</dc:creator>
  <dc:language>ru-RU</dc:language>
  <cp:keywords/>
  <dcterms:created xsi:type="dcterms:W3CDTF">2025-04-26T16:31:55Z</dcterms:created>
  <dcterms:modified xsi:type="dcterms:W3CDTF">2025-04-26T16:31:55Z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