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27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5. Конфигурирование VLAN</w:t>
      </w:r>
    </w:p>
    <w:p>
      <w:pPr>
        <w:pStyle w:val="Author"/>
      </w:pPr>
      <w:r>
        <w:t xml:space="preserve">Абакумова Олеся Максимовна, НФИбд-02-22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основные навыки по настройке VLAN на коммутаторах сети.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На коммутаторах сети настроить Trunk-порты на соответствующих интер-</w:t>
      </w:r>
      <w:r>
        <w:t xml:space="preserve"> </w:t>
      </w:r>
      <w:r>
        <w:t xml:space="preserve">фейсах, связывающих коммутаторы между</w:t>
      </w:r>
      <w:r>
        <w:t xml:space="preserve"> </w:t>
      </w:r>
      <w:r>
        <w:t xml:space="preserve">собой.</w:t>
      </w:r>
    </w:p>
    <w:p>
      <w:pPr>
        <w:pStyle w:val="Compact"/>
        <w:numPr>
          <w:ilvl w:val="0"/>
          <w:numId w:val="1001"/>
        </w:numPr>
      </w:pPr>
      <w:r>
        <w:t xml:space="preserve">Коммутатор msk-donskaya-sw-1 настроить как VTP-сервер и прописать на</w:t>
      </w:r>
      <w:r>
        <w:t xml:space="preserve"> </w:t>
      </w:r>
      <w:r>
        <w:t xml:space="preserve">нём номера и названия VLAN.</w:t>
      </w:r>
    </w:p>
    <w:p>
      <w:pPr>
        <w:pStyle w:val="Compact"/>
        <w:numPr>
          <w:ilvl w:val="0"/>
          <w:numId w:val="1001"/>
        </w:numPr>
      </w:pPr>
      <w:r>
        <w:t xml:space="preserve">Коммутаторы msk-donskaya-sw-2 — msk-donskaya-sw-4,msk-pavlovskaya-sw-1 настроить как VTP-клиенты, на интерфейсах указать</w:t>
      </w:r>
      <w:r>
        <w:t xml:space="preserve"> </w:t>
      </w:r>
      <w:r>
        <w:t xml:space="preserve">принадлежность к соответствующему VLAN.</w:t>
      </w:r>
    </w:p>
    <w:p>
      <w:pPr>
        <w:pStyle w:val="Compact"/>
        <w:numPr>
          <w:ilvl w:val="0"/>
          <w:numId w:val="1001"/>
        </w:numPr>
      </w:pPr>
      <w:r>
        <w:t xml:space="preserve">На серверах прописать IP-адреса.</w:t>
      </w:r>
    </w:p>
    <w:p>
      <w:pPr>
        <w:pStyle w:val="Compact"/>
        <w:numPr>
          <w:ilvl w:val="0"/>
          <w:numId w:val="1001"/>
        </w:numPr>
      </w:pPr>
      <w:r>
        <w:t xml:space="preserve">На оконечных устройствах указать соответствующий адрес шлюза и прописать статические IP-адреса из диапазона соответствующей сети, следуя</w:t>
      </w:r>
      <w:r>
        <w:t xml:space="preserve"> </w:t>
      </w:r>
      <w:r>
        <w:t xml:space="preserve">регламенту выделения ip-адресов.</w:t>
      </w:r>
    </w:p>
    <w:p>
      <w:pPr>
        <w:pStyle w:val="Compact"/>
        <w:numPr>
          <w:ilvl w:val="0"/>
          <w:numId w:val="1001"/>
        </w:numPr>
      </w:pPr>
      <w:r>
        <w:t xml:space="preserve">Проверить доступность устройств, принадлежащих одному VLAN, и недоступность устройств, принадлежащих разным VLAN.</w:t>
      </w:r>
    </w:p>
    <w:p>
      <w:pPr>
        <w:pStyle w:val="Compact"/>
        <w:numPr>
          <w:ilvl w:val="0"/>
          <w:numId w:val="1001"/>
        </w:numPr>
      </w:pPr>
      <w:r>
        <w:t xml:space="preserve">При выполнении работы необходимо учитывать соглашение об именовании.</w:t>
      </w:r>
    </w:p>
    <w:bookmarkEnd w:id="21"/>
    <w:bookmarkStart w:id="128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Используя (табл. 1), настроим Trunk-порты для коммутаторов следующим образом (рис. 1):</w:t>
      </w:r>
    </w:p>
    <w:bookmarkStart w:id="22" w:name="tbl:fiz"/>
    <w:p>
      <w:pPr>
        <w:pStyle w:val="TableCaption"/>
      </w:pPr>
      <w:r>
        <w:t xml:space="preserve">Таблица 1: Таблица портов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: Таблица портов"/>
      </w:tblPr>
      <w:tblGrid>
        <w:gridCol w:w="2493"/>
        <w:gridCol w:w="953"/>
        <w:gridCol w:w="1613"/>
        <w:gridCol w:w="953"/>
        <w:gridCol w:w="19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Устройство</w:t>
            </w:r>
          </w:p>
        </w:tc>
        <w:tc>
          <w:tcPr/>
          <w:p>
            <w:pPr>
              <w:pStyle w:val="Compact"/>
            </w:pPr>
            <w:r>
              <w:t xml:space="preserve">Порт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  <w:tc>
          <w:tcPr/>
          <w:p>
            <w:pPr>
              <w:pStyle w:val="Compact"/>
            </w:pPr>
            <w:r>
              <w:t xml:space="preserve">Access VLAN</w:t>
            </w:r>
          </w:p>
        </w:tc>
        <w:tc>
          <w:tcPr/>
          <w:p>
            <w:pPr>
              <w:pStyle w:val="Compact"/>
            </w:pPr>
            <w:r>
              <w:t xml:space="preserve">Trunk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msk-donskaya-omabakumova-gw-1</w:t>
            </w:r>
          </w:p>
        </w:tc>
        <w:tc>
          <w:tcPr/>
          <w:p>
            <w:pPr>
              <w:pStyle w:val="Compact"/>
            </w:pPr>
            <w:r>
              <w:t xml:space="preserve">f0/1</w:t>
            </w:r>
          </w:p>
        </w:tc>
        <w:tc>
          <w:tcPr/>
          <w:p>
            <w:pPr>
              <w:pStyle w:val="Compact"/>
            </w:pPr>
            <w:r>
              <w:t xml:space="preserve">UpLink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f0/0</w:t>
            </w:r>
          </w:p>
        </w:tc>
        <w:tc>
          <w:tcPr/>
          <w:p>
            <w:pPr>
              <w:pStyle w:val="Compact"/>
            </w:pPr>
            <w:r>
              <w:t xml:space="preserve">msk-donskaya-sw-1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2, 3, 101, 102, 103, 104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msk-donskaya-omabakumova-sw-1</w:t>
            </w:r>
          </w:p>
        </w:tc>
        <w:tc>
          <w:tcPr/>
          <w:p>
            <w:pPr>
              <w:pStyle w:val="Compact"/>
            </w:pPr>
            <w:r>
              <w:t xml:space="preserve">f0/24</w:t>
            </w:r>
          </w:p>
        </w:tc>
        <w:tc>
          <w:tcPr/>
          <w:p>
            <w:pPr>
              <w:pStyle w:val="Compact"/>
            </w:pPr>
            <w:r>
              <w:t xml:space="preserve">msk-donskaya-gw-1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2, 3, 101, 102, 103, 104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g0/1</w:t>
            </w:r>
          </w:p>
        </w:tc>
        <w:tc>
          <w:tcPr/>
          <w:p>
            <w:pPr>
              <w:pStyle w:val="Compact"/>
            </w:pPr>
            <w:r>
              <w:t xml:space="preserve">msk-donskaya-sw-2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g0/2</w:t>
            </w:r>
          </w:p>
        </w:tc>
        <w:tc>
          <w:tcPr/>
          <w:p>
            <w:pPr>
              <w:pStyle w:val="Compact"/>
            </w:pPr>
            <w:r>
              <w:t xml:space="preserve">msk-donskaya-sw-4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2, 101, 102, 103, 104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g0/1</w:t>
            </w:r>
          </w:p>
        </w:tc>
        <w:tc>
          <w:tcPr/>
          <w:p>
            <w:pPr>
              <w:pStyle w:val="Compact"/>
            </w:pPr>
            <w:r>
              <w:t xml:space="preserve">msk-pavlovskaya-sw-1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2, 101, 104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msk-donskaya-omabakumova-sw-2</w:t>
            </w:r>
          </w:p>
        </w:tc>
        <w:tc>
          <w:tcPr/>
          <w:p>
            <w:pPr>
              <w:pStyle w:val="Compact"/>
            </w:pPr>
            <w:r>
              <w:t xml:space="preserve">g0/1</w:t>
            </w:r>
          </w:p>
        </w:tc>
        <w:tc>
          <w:tcPr/>
          <w:p>
            <w:pPr>
              <w:pStyle w:val="Compact"/>
            </w:pPr>
            <w:r>
              <w:t xml:space="preserve">msk-donskaya-sw-1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g0/2</w:t>
            </w:r>
          </w:p>
        </w:tc>
        <w:tc>
          <w:tcPr/>
          <w:p>
            <w:pPr>
              <w:pStyle w:val="Compact"/>
            </w:pPr>
            <w:r>
              <w:t xml:space="preserve">msk-donskaya-sw-3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f0/1</w:t>
            </w:r>
          </w:p>
        </w:tc>
        <w:tc>
          <w:tcPr/>
          <w:p>
            <w:pPr>
              <w:pStyle w:val="Compact"/>
            </w:pPr>
            <w:r>
              <w:t xml:space="preserve">Web-server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f0/2</w:t>
            </w:r>
          </w:p>
        </w:tc>
        <w:tc>
          <w:tcPr/>
          <w:p>
            <w:pPr>
              <w:pStyle w:val="Compact"/>
            </w:pPr>
            <w:r>
              <w:t xml:space="preserve">File-server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msk-donskaya-omabakumova-sw-3</w:t>
            </w:r>
          </w:p>
        </w:tc>
        <w:tc>
          <w:tcPr/>
          <w:p>
            <w:pPr>
              <w:pStyle w:val="Compact"/>
            </w:pPr>
            <w:r>
              <w:t xml:space="preserve">g0/1</w:t>
            </w:r>
          </w:p>
        </w:tc>
        <w:tc>
          <w:tcPr/>
          <w:p>
            <w:pPr>
              <w:pStyle w:val="Compact"/>
            </w:pPr>
            <w:r>
              <w:t xml:space="preserve">msk-donskaya-sw-2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f0/1</w:t>
            </w:r>
          </w:p>
        </w:tc>
        <w:tc>
          <w:tcPr/>
          <w:p>
            <w:pPr>
              <w:pStyle w:val="Compact"/>
            </w:pPr>
            <w:r>
              <w:t xml:space="preserve">Mail-server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f0/2</w:t>
            </w:r>
          </w:p>
        </w:tc>
        <w:tc>
          <w:tcPr/>
          <w:p>
            <w:pPr>
              <w:pStyle w:val="Compact"/>
            </w:pPr>
            <w: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msk-donskaya-omabakumova-sw-4</w:t>
            </w:r>
          </w:p>
        </w:tc>
        <w:tc>
          <w:tcPr/>
          <w:p>
            <w:pPr>
              <w:pStyle w:val="Compact"/>
            </w:pPr>
            <w:r>
              <w:t xml:space="preserve">g0/1</w:t>
            </w:r>
          </w:p>
        </w:tc>
        <w:tc>
          <w:tcPr/>
          <w:p>
            <w:pPr>
              <w:pStyle w:val="Compact"/>
            </w:pPr>
            <w:r>
              <w:t xml:space="preserve">msk-donskaya-sw-1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2, 101, 102, 103, 104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f0/1–f0/5</w:t>
            </w:r>
          </w:p>
        </w:tc>
        <w:tc>
          <w:tcPr/>
          <w:p>
            <w:pPr>
              <w:pStyle w:val="Compact"/>
            </w:pPr>
            <w:r>
              <w:t xml:space="preserve">dk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f0/6–f0/10</w:t>
            </w:r>
          </w:p>
        </w:tc>
        <w:tc>
          <w:tcPr/>
          <w:p>
            <w:pPr>
              <w:pStyle w:val="Compact"/>
            </w:pPr>
            <w:r>
              <w:t xml:space="preserve">departments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f0/11–f0/15</w:t>
            </w:r>
          </w:p>
        </w:tc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f0/16–f0/24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msk-pavlovskaya-omabakumova-sw-1</w:t>
            </w:r>
          </w:p>
        </w:tc>
        <w:tc>
          <w:tcPr/>
          <w:p>
            <w:pPr>
              <w:pStyle w:val="Compact"/>
            </w:pPr>
            <w:r>
              <w:t xml:space="preserve">f0/24</w:t>
            </w:r>
          </w:p>
        </w:tc>
        <w:tc>
          <w:tcPr/>
          <w:p>
            <w:pPr>
              <w:pStyle w:val="Compact"/>
            </w:pPr>
            <w:r>
              <w:t xml:space="preserve">msk-donskaya-sw-1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2, 101, 104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f0/1–f0/15</w:t>
            </w:r>
          </w:p>
        </w:tc>
        <w:tc>
          <w:tcPr/>
          <w:p>
            <w:pPr>
              <w:pStyle w:val="Compact"/>
            </w:pPr>
            <w:r>
              <w:t xml:space="preserve">dk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f0/20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6" w:name="fig:001"/>
    <w:p>
      <w:pPr>
        <w:pStyle w:val="CaptionedFigure"/>
      </w:pPr>
      <w:r>
        <w:drawing>
          <wp:inline>
            <wp:extent cx="4267200" cy="2174630"/>
            <wp:effectExtent b="0" l="0" r="0" t="0"/>
            <wp:docPr descr="Рис. 1: Настройка Trunk-порта для msk-donskaya-omabakumova-sw-1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174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Настройка Trunk-порта для msk-donskaya-omabakumova-sw-1</w:t>
      </w:r>
    </w:p>
    <w:bookmarkEnd w:id="26"/>
    <w:bookmarkStart w:id="30" w:name="fig:002"/>
    <w:p>
      <w:pPr>
        <w:pStyle w:val="CaptionedFigure"/>
      </w:pPr>
      <w:r>
        <w:drawing>
          <wp:inline>
            <wp:extent cx="4267200" cy="2174630"/>
            <wp:effectExtent b="0" l="0" r="0" t="0"/>
            <wp:docPr descr="Рис. 2: Настройка Trunk-порта для msk-donskaya-omabakumova-sw-2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174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Настройка Trunk-порта для msk-donskaya-omabakumova-sw-2</w:t>
      </w:r>
    </w:p>
    <w:bookmarkEnd w:id="30"/>
    <w:bookmarkStart w:id="34" w:name="fig:003"/>
    <w:p>
      <w:pPr>
        <w:pStyle w:val="CaptionedFigure"/>
      </w:pPr>
      <w:r>
        <w:drawing>
          <wp:inline>
            <wp:extent cx="4267200" cy="1853430"/>
            <wp:effectExtent b="0" l="0" r="0" t="0"/>
            <wp:docPr descr="Рис. 3: Настройка Trunk-порта для msk-donskaya-omabakumova-sw-3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53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Настройка Trunk-порта для msk-donskaya-omabakumova-sw-3</w:t>
      </w:r>
    </w:p>
    <w:bookmarkEnd w:id="34"/>
    <w:bookmarkStart w:id="38" w:name="fig:004"/>
    <w:p>
      <w:pPr>
        <w:pStyle w:val="CaptionedFigure"/>
      </w:pPr>
      <w:r>
        <w:drawing>
          <wp:inline>
            <wp:extent cx="4267200" cy="1853430"/>
            <wp:effectExtent b="0" l="0" r="0" t="0"/>
            <wp:docPr descr="Рис. 4: Настройка Trunk-порта для msk-donskaya-omabakumova-sw-4" title="" id="36" name="Picture"/>
            <a:graphic>
              <a:graphicData uri="http://schemas.openxmlformats.org/drawingml/2006/picture">
                <pic:pic>
                  <pic:nvPicPr>
                    <pic:cNvPr descr="image/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53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Настройка Trunk-порта для msk-donskaya-omabakumova-sw-4</w:t>
      </w:r>
    </w:p>
    <w:bookmarkEnd w:id="38"/>
    <w:bookmarkStart w:id="42" w:name="fig:005"/>
    <w:p>
      <w:pPr>
        <w:pStyle w:val="CaptionedFigure"/>
      </w:pPr>
      <w:r>
        <w:drawing>
          <wp:inline>
            <wp:extent cx="4267200" cy="1853430"/>
            <wp:effectExtent b="0" l="0" r="0" t="0"/>
            <wp:docPr descr="Рис. 5: Настройка Trunk-порта(дополнительно) для msk-donskaya-omabakumova-sw-1" title="" id="40" name="Picture"/>
            <a:graphic>
              <a:graphicData uri="http://schemas.openxmlformats.org/drawingml/2006/picture">
                <pic:pic>
                  <pic:nvPicPr>
                    <pic:cNvPr descr="image/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53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Настройка Trunk-порта(дополнительно) для msk-donskaya-omabakumova-sw-1</w:t>
      </w:r>
    </w:p>
    <w:bookmarkEnd w:id="42"/>
    <w:bookmarkStart w:id="46" w:name="fig:006"/>
    <w:p>
      <w:pPr>
        <w:pStyle w:val="CaptionedFigure"/>
      </w:pPr>
      <w:r>
        <w:drawing>
          <wp:inline>
            <wp:extent cx="4267200" cy="1724121"/>
            <wp:effectExtent b="0" l="0" r="0" t="0"/>
            <wp:docPr descr="Рис. 6: Настройка Trunk-порта для msk-pavlovskaya-omabakumova-sw-1" title="" id="44" name="Picture"/>
            <a:graphic>
              <a:graphicData uri="http://schemas.openxmlformats.org/drawingml/2006/picture">
                <pic:pic>
                  <pic:nvPicPr>
                    <pic:cNvPr descr="image/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724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Настройка Trunk-порта для msk-pavlovskaya-omabakumova-sw-1</w:t>
      </w:r>
    </w:p>
    <w:bookmarkEnd w:id="46"/>
    <w:p>
      <w:pPr>
        <w:pStyle w:val="BodyText"/>
      </w:pPr>
      <w:r>
        <w:t xml:space="preserve">Настроим конфигурацию VTP на msk-donskaya-omabakumova-sw-1 и выведем информацию о VLAN (рис. 7):</w:t>
      </w:r>
    </w:p>
    <w:bookmarkStart w:id="50" w:name="fig:007"/>
    <w:p>
      <w:pPr>
        <w:pStyle w:val="CaptionedFigure"/>
      </w:pPr>
      <w:r>
        <w:drawing>
          <wp:inline>
            <wp:extent cx="4267200" cy="2533879"/>
            <wp:effectExtent b="0" l="0" r="0" t="0"/>
            <wp:docPr descr="Рис. 7: Настройка VLAN для msk-donskaya-omabakumova-sw-1" title="" id="48" name="Picture"/>
            <a:graphic>
              <a:graphicData uri="http://schemas.openxmlformats.org/drawingml/2006/picture">
                <pic:pic>
                  <pic:nvPicPr>
                    <pic:cNvPr descr="image/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533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Настройка VLAN для msk-donskaya-omabakumova-sw-1</w:t>
      </w:r>
    </w:p>
    <w:bookmarkEnd w:id="50"/>
    <w:bookmarkStart w:id="54" w:name="fig:008"/>
    <w:p>
      <w:pPr>
        <w:pStyle w:val="CaptionedFigure"/>
      </w:pPr>
      <w:r>
        <w:drawing>
          <wp:inline>
            <wp:extent cx="4267200" cy="2644690"/>
            <wp:effectExtent b="0" l="0" r="0" t="0"/>
            <wp:docPr descr="Рис. 8: Вывод команды show vlan" title="" id="52" name="Picture"/>
            <a:graphic>
              <a:graphicData uri="http://schemas.openxmlformats.org/drawingml/2006/picture">
                <pic:pic>
                  <pic:nvPicPr>
                    <pic:cNvPr descr="image/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44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Вывод команды show vlan</w:t>
      </w:r>
    </w:p>
    <w:bookmarkEnd w:id="54"/>
    <w:p>
      <w:pPr>
        <w:pStyle w:val="BodyText"/>
      </w:pPr>
      <w:r>
        <w:t xml:space="preserve">Теперь настроим msk-donskaya-omabakumova-sw-1, как VTP-сервер (рис. 9):</w:t>
      </w:r>
    </w:p>
    <w:bookmarkStart w:id="58" w:name="fig:009"/>
    <w:p>
      <w:pPr>
        <w:pStyle w:val="CaptionedFigure"/>
      </w:pPr>
      <w:r>
        <w:drawing>
          <wp:inline>
            <wp:extent cx="4267200" cy="2171530"/>
            <wp:effectExtent b="0" l="0" r="0" t="0"/>
            <wp:docPr descr="Рис. 9: Настройка msk-donskaya-omabakumova-sw-1, как VTP-сервера" title="" id="56" name="Picture"/>
            <a:graphic>
              <a:graphicData uri="http://schemas.openxmlformats.org/drawingml/2006/picture">
                <pic:pic>
                  <pic:nvPicPr>
                    <pic:cNvPr descr="image/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171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Настройка msk-donskaya-omabakumova-sw-1, как VTP-сервера</w:t>
      </w:r>
    </w:p>
    <w:bookmarkEnd w:id="58"/>
    <w:p>
      <w:pPr>
        <w:pStyle w:val="BodyText"/>
      </w:pPr>
      <w:r>
        <w:t xml:space="preserve">Остальные коммутаторы, как VTP-клиенты (рис. 10):</w:t>
      </w:r>
    </w:p>
    <w:bookmarkStart w:id="62" w:name="fig:010"/>
    <w:p>
      <w:pPr>
        <w:pStyle w:val="CaptionedFigure"/>
      </w:pPr>
      <w:r>
        <w:drawing>
          <wp:inline>
            <wp:extent cx="4267200" cy="1715863"/>
            <wp:effectExtent b="0" l="0" r="0" t="0"/>
            <wp:docPr descr="Рис. 10: Настройка msk-donskaya-omabakumova-sw-2, как VTP-клиента" title="" id="60" name="Picture"/>
            <a:graphic>
              <a:graphicData uri="http://schemas.openxmlformats.org/drawingml/2006/picture">
                <pic:pic>
                  <pic:nvPicPr>
                    <pic:cNvPr descr="image/10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715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Настройка msk-donskaya-omabakumova-sw-2, как VTP-клиента</w:t>
      </w:r>
    </w:p>
    <w:bookmarkEnd w:id="62"/>
    <w:bookmarkStart w:id="66" w:name="fig:011"/>
    <w:p>
      <w:pPr>
        <w:pStyle w:val="CaptionedFigure"/>
      </w:pPr>
      <w:r>
        <w:drawing>
          <wp:inline>
            <wp:extent cx="4267200" cy="1715863"/>
            <wp:effectExtent b="0" l="0" r="0" t="0"/>
            <wp:docPr descr="Рис. 11: Настройка msk-donskaya-omabakumova-sw-3, как VTP-клиента" title="" id="64" name="Picture"/>
            <a:graphic>
              <a:graphicData uri="http://schemas.openxmlformats.org/drawingml/2006/picture">
                <pic:pic>
                  <pic:nvPicPr>
                    <pic:cNvPr descr="image/1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715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Настройка msk-donskaya-omabakumova-sw-3, как VTP-клиента</w:t>
      </w:r>
    </w:p>
    <w:bookmarkEnd w:id="66"/>
    <w:bookmarkStart w:id="70" w:name="fig:012"/>
    <w:p>
      <w:pPr>
        <w:pStyle w:val="CaptionedFigure"/>
      </w:pPr>
      <w:r>
        <w:drawing>
          <wp:inline>
            <wp:extent cx="4267200" cy="1735955"/>
            <wp:effectExtent b="0" l="0" r="0" t="0"/>
            <wp:docPr descr="Рис. 12: Настройка msk-donskaya-omabakumova-sw-4, как VTP-клиента" title="" id="68" name="Picture"/>
            <a:graphic>
              <a:graphicData uri="http://schemas.openxmlformats.org/drawingml/2006/picture">
                <pic:pic>
                  <pic:nvPicPr>
                    <pic:cNvPr descr="image/12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73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Настройка msk-donskaya-omabakumova-sw-4, как VTP-клиента</w:t>
      </w:r>
    </w:p>
    <w:bookmarkEnd w:id="70"/>
    <w:p>
      <w:pPr>
        <w:pStyle w:val="BodyText"/>
      </w:pPr>
      <w:r>
        <w:t xml:space="preserve">Выведем информацию о VTP (рис. 13):</w:t>
      </w:r>
    </w:p>
    <w:bookmarkStart w:id="74" w:name="fig:013"/>
    <w:p>
      <w:pPr>
        <w:pStyle w:val="CaptionedFigure"/>
      </w:pPr>
      <w:r>
        <w:drawing>
          <wp:inline>
            <wp:extent cx="4267200" cy="1735955"/>
            <wp:effectExtent b="0" l="0" r="0" t="0"/>
            <wp:docPr descr="Рис. 13: Вывод команды show vtp" title="" id="72" name="Picture"/>
            <a:graphic>
              <a:graphicData uri="http://schemas.openxmlformats.org/drawingml/2006/picture">
                <pic:pic>
                  <pic:nvPicPr>
                    <pic:cNvPr descr="image/13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73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Вывод команды show vtp</w:t>
      </w:r>
    </w:p>
    <w:bookmarkEnd w:id="74"/>
    <w:bookmarkStart w:id="78" w:name="fig:014"/>
    <w:p>
      <w:pPr>
        <w:pStyle w:val="CaptionedFigure"/>
      </w:pPr>
      <w:r>
        <w:drawing>
          <wp:inline>
            <wp:extent cx="4267200" cy="2461846"/>
            <wp:effectExtent b="0" l="0" r="0" t="0"/>
            <wp:docPr descr="Рис. 14: Вывод команды show vlan на msk-donskaya-omabakumova-sw-4" title="" id="76" name="Picture"/>
            <a:graphic>
              <a:graphicData uri="http://schemas.openxmlformats.org/drawingml/2006/picture">
                <pic:pic>
                  <pic:nvPicPr>
                    <pic:cNvPr descr="image/1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46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Вывод команды show vlan на msk-donskaya-omabakumova-sw-4</w:t>
      </w:r>
    </w:p>
    <w:bookmarkEnd w:id="78"/>
    <w:p>
      <w:pPr>
        <w:pStyle w:val="BodyText"/>
      </w:pPr>
      <w:r>
        <w:t xml:space="preserve">Осталось настроить, как VTP-клиент msk-pavlovskaya-omabakumova-sw-1 (рис. 15):</w:t>
      </w:r>
    </w:p>
    <w:bookmarkStart w:id="82" w:name="fig:015"/>
    <w:p>
      <w:pPr>
        <w:pStyle w:val="CaptionedFigure"/>
      </w:pPr>
      <w:r>
        <w:drawing>
          <wp:inline>
            <wp:extent cx="4267200" cy="1483922"/>
            <wp:effectExtent b="0" l="0" r="0" t="0"/>
            <wp:docPr descr="Рис. 15: Настройка msk-pavlovskaya-omabakumova-sw-1, как VTP-клиента" title="" id="80" name="Picture"/>
            <a:graphic>
              <a:graphicData uri="http://schemas.openxmlformats.org/drawingml/2006/picture">
                <pic:pic>
                  <pic:nvPicPr>
                    <pic:cNvPr descr="image/15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48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Настройка msk-pavlovskaya-omabakumova-sw-1, как VTP-клиента</w:t>
      </w:r>
    </w:p>
    <w:bookmarkEnd w:id="82"/>
    <w:p>
      <w:pPr>
        <w:pStyle w:val="BodyText"/>
      </w:pPr>
      <w:r>
        <w:t xml:space="preserve">Далее настроим конфигурацию диапазона портов, используя также (табл. 1),получим следующее (рис. 16)::</w:t>
      </w:r>
    </w:p>
    <w:bookmarkStart w:id="86" w:name="fig:016"/>
    <w:p>
      <w:pPr>
        <w:pStyle w:val="CaptionedFigure"/>
      </w:pPr>
      <w:r>
        <w:drawing>
          <wp:inline>
            <wp:extent cx="4267200" cy="3119209"/>
            <wp:effectExtent b="0" l="0" r="0" t="0"/>
            <wp:docPr descr="Рис. 16: Настройка конфигурации диапазона портов для msk-donskaya-omabakumova-sw-4" title="" id="84" name="Picture"/>
            <a:graphic>
              <a:graphicData uri="http://schemas.openxmlformats.org/drawingml/2006/picture">
                <pic:pic>
                  <pic:nvPicPr>
                    <pic:cNvPr descr="image/16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119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Настройка конфигурации диапазона портов для msk-donskaya-omabakumova-sw-4</w:t>
      </w:r>
    </w:p>
    <w:bookmarkEnd w:id="86"/>
    <w:bookmarkStart w:id="90" w:name="fig:017"/>
    <w:p>
      <w:pPr>
        <w:pStyle w:val="CaptionedFigure"/>
      </w:pPr>
      <w:r>
        <w:drawing>
          <wp:inline>
            <wp:extent cx="4267200" cy="1909242"/>
            <wp:effectExtent b="0" l="0" r="0" t="0"/>
            <wp:docPr descr="Рис. 17: Настройка конфигурации диапазона портов для msk-donskaya-omabakumova-sw-2" title="" id="88" name="Picture"/>
            <a:graphic>
              <a:graphicData uri="http://schemas.openxmlformats.org/drawingml/2006/picture">
                <pic:pic>
                  <pic:nvPicPr>
                    <pic:cNvPr descr="image/1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09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Настройка конфигурации диапазона портов для msk-donskaya-omabakumova-sw-2</w:t>
      </w:r>
    </w:p>
    <w:bookmarkEnd w:id="90"/>
    <w:bookmarkStart w:id="94" w:name="fig:018"/>
    <w:p>
      <w:pPr>
        <w:pStyle w:val="CaptionedFigure"/>
      </w:pPr>
      <w:r>
        <w:drawing>
          <wp:inline>
            <wp:extent cx="4267200" cy="1724476"/>
            <wp:effectExtent b="0" l="0" r="0" t="0"/>
            <wp:docPr descr="Рис. 18: Настройка конфигурации диапазона портов для msk-donskaya-omabakumova-sw-3" title="" id="92" name="Picture"/>
            <a:graphic>
              <a:graphicData uri="http://schemas.openxmlformats.org/drawingml/2006/picture">
                <pic:pic>
                  <pic:nvPicPr>
                    <pic:cNvPr descr="image/18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724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Настройка конфигурации диапазона портов для msk-donskaya-omabakumova-sw-3</w:t>
      </w:r>
    </w:p>
    <w:bookmarkEnd w:id="94"/>
    <w:bookmarkStart w:id="98" w:name="fig:019"/>
    <w:p>
      <w:pPr>
        <w:pStyle w:val="CaptionedFigure"/>
      </w:pPr>
      <w:r>
        <w:drawing>
          <wp:inline>
            <wp:extent cx="4267200" cy="1956502"/>
            <wp:effectExtent b="0" l="0" r="0" t="0"/>
            <wp:docPr descr="Рис. 19: Настройка конфигурации диапазона портов для msk-pavlovskaya-omabakumova-sw-1" title="" id="96" name="Picture"/>
            <a:graphic>
              <a:graphicData uri="http://schemas.openxmlformats.org/drawingml/2006/picture">
                <pic:pic>
                  <pic:nvPicPr>
                    <pic:cNvPr descr="image/19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56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Настройка конфигурации диапазона портов для msk-pavlovskaya-omabakumova-sw-1</w:t>
      </w:r>
    </w:p>
    <w:bookmarkEnd w:id="98"/>
    <w:p>
      <w:pPr>
        <w:pStyle w:val="BodyText"/>
      </w:pPr>
      <w:r>
        <w:t xml:space="preserve">Теперь с помощью таблицы (табл. 2), настроим шлюз и IP-адрес у всех оконечных устройств (рис. 20):</w:t>
      </w:r>
    </w:p>
    <w:bookmarkStart w:id="99" w:name="tbl:ip"/>
    <w:p>
      <w:pPr>
        <w:pStyle w:val="TableCaption"/>
      </w:pPr>
      <w:r>
        <w:t xml:space="preserve">Таблица 2: Таблица IP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: Таблица IP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IP-адреса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  <w:tc>
          <w:tcPr/>
          <w:p>
            <w:pPr>
              <w:pStyle w:val="Compact"/>
            </w:pPr>
            <w:r>
              <w:t xml:space="preserve">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10.128.0.0/16</w:t>
            </w:r>
          </w:p>
        </w:tc>
        <w:tc>
          <w:tcPr/>
          <w:p>
            <w:pPr>
              <w:pStyle w:val="Compact"/>
            </w:pPr>
            <w:r>
              <w:t xml:space="preserve">Вся сеть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10.128.0.0/24</w:t>
            </w:r>
          </w:p>
        </w:tc>
        <w:tc>
          <w:tcPr/>
          <w:p>
            <w:pPr>
              <w:pStyle w:val="Compact"/>
            </w:pPr>
            <w:r>
              <w:t xml:space="preserve">Серверная ферма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10.128.0.1</w:t>
            </w:r>
          </w:p>
        </w:tc>
        <w:tc>
          <w:tcPr/>
          <w:p>
            <w:pPr>
              <w:pStyle w:val="Compact"/>
            </w:pPr>
            <w:r>
              <w:t xml:space="preserve">Шлюз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10.128.0.2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10.128.0.3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10.128.0.4</w:t>
            </w:r>
          </w:p>
        </w:tc>
        <w:tc>
          <w:tcPr/>
          <w:p>
            <w:pPr>
              <w:pStyle w:val="Compact"/>
            </w:pPr>
            <w:r>
              <w:t xml:space="preserve">Mail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10.128.0.5</w:t>
            </w:r>
          </w:p>
        </w:tc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10.128.0.6-10.128.0.254</w:t>
            </w:r>
          </w:p>
        </w:tc>
        <w:tc>
          <w:tcPr/>
          <w:p>
            <w:pPr>
              <w:pStyle w:val="Compact"/>
            </w:pPr>
            <w:r>
              <w:t xml:space="preserve">Зарезервировано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10.128.1.0/24</w:t>
            </w:r>
          </w:p>
        </w:tc>
        <w:tc>
          <w:tcPr/>
          <w:p>
            <w:pPr>
              <w:pStyle w:val="Compact"/>
            </w:pPr>
            <w:r>
              <w:t xml:space="preserve">Управление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10.128.1.1</w:t>
            </w:r>
          </w:p>
        </w:tc>
        <w:tc>
          <w:tcPr/>
          <w:p>
            <w:pPr>
              <w:pStyle w:val="Compact"/>
            </w:pPr>
            <w:r>
              <w:t xml:space="preserve">Шлюз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10.128.1.2</w:t>
            </w:r>
          </w:p>
        </w:tc>
        <w:tc>
          <w:tcPr/>
          <w:p>
            <w:pPr>
              <w:pStyle w:val="Compact"/>
            </w:pPr>
            <w:r>
              <w:t xml:space="preserve">msk-donskaya-sw-1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10.128.1.3</w:t>
            </w:r>
          </w:p>
        </w:tc>
        <w:tc>
          <w:tcPr/>
          <w:p>
            <w:pPr>
              <w:pStyle w:val="Compact"/>
            </w:pPr>
            <w:r>
              <w:t xml:space="preserve">msk-donskaya-sw-2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10.128.1.4</w:t>
            </w:r>
          </w:p>
        </w:tc>
        <w:tc>
          <w:tcPr/>
          <w:p>
            <w:pPr>
              <w:pStyle w:val="Compact"/>
            </w:pPr>
            <w:r>
              <w:t xml:space="preserve">msk-donskaya-sw-3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10.128.1.5</w:t>
            </w:r>
          </w:p>
        </w:tc>
        <w:tc>
          <w:tcPr/>
          <w:p>
            <w:pPr>
              <w:pStyle w:val="Compact"/>
            </w:pPr>
            <w:r>
              <w:t xml:space="preserve">Msk-donskaya-sw-4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10.128.1.6</w:t>
            </w:r>
          </w:p>
        </w:tc>
        <w:tc>
          <w:tcPr/>
          <w:p>
            <w:pPr>
              <w:pStyle w:val="Compact"/>
            </w:pPr>
            <w:r>
              <w:t xml:space="preserve">msk-pavlovskaya-sw-1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10.128.1.7-10.128.1.254</w:t>
            </w:r>
          </w:p>
        </w:tc>
        <w:tc>
          <w:tcPr/>
          <w:p>
            <w:pPr>
              <w:pStyle w:val="Compact"/>
            </w:pPr>
            <w:r>
              <w:t xml:space="preserve">Зарезервировано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10.128.2.0/24</w:t>
            </w:r>
          </w:p>
        </w:tc>
        <w:tc>
          <w:tcPr/>
          <w:p>
            <w:pPr>
              <w:pStyle w:val="Compact"/>
            </w:pPr>
            <w:r>
              <w:t xml:space="preserve">Сеть Point-to-Point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10.128.2.1</w:t>
            </w:r>
          </w:p>
        </w:tc>
        <w:tc>
          <w:tcPr/>
          <w:p>
            <w:pPr>
              <w:pStyle w:val="Compact"/>
            </w:pPr>
            <w:r>
              <w:t xml:space="preserve">Шлюз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10.128.2.2-10.128.2.254</w:t>
            </w:r>
          </w:p>
        </w:tc>
        <w:tc>
          <w:tcPr/>
          <w:p>
            <w:pPr>
              <w:pStyle w:val="Compact"/>
            </w:pPr>
            <w:r>
              <w:t xml:space="preserve">Зарезервировано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10.128.3.0/24</w:t>
            </w:r>
          </w:p>
        </w:tc>
        <w:tc>
          <w:tcPr/>
          <w:p>
            <w:pPr>
              <w:pStyle w:val="Compact"/>
            </w:pPr>
            <w:r>
              <w:t xml:space="preserve">Дисплейные классы(DK)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10.128.3.1</w:t>
            </w:r>
          </w:p>
        </w:tc>
        <w:tc>
          <w:tcPr/>
          <w:p>
            <w:pPr>
              <w:pStyle w:val="Compact"/>
            </w:pPr>
            <w:r>
              <w:t xml:space="preserve">Шлюз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10.128.3.2-10.128.3.254</w:t>
            </w:r>
          </w:p>
        </w:tc>
        <w:tc>
          <w:tcPr/>
          <w:p>
            <w:pPr>
              <w:pStyle w:val="Compact"/>
            </w:pPr>
            <w:r>
              <w:t xml:space="preserve">Пул для пользователей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10.128.4.0/24</w:t>
            </w:r>
          </w:p>
        </w:tc>
        <w:tc>
          <w:tcPr/>
          <w:p>
            <w:pPr>
              <w:pStyle w:val="Compact"/>
            </w:pPr>
            <w:r>
              <w:t xml:space="preserve">Кафедра (DEP)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10.128.4.1</w:t>
            </w:r>
          </w:p>
        </w:tc>
        <w:tc>
          <w:tcPr/>
          <w:p>
            <w:pPr>
              <w:pStyle w:val="Compact"/>
            </w:pPr>
            <w:r>
              <w:t xml:space="preserve">Шлюз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10.128.4.2-10.128.4.254</w:t>
            </w:r>
          </w:p>
        </w:tc>
        <w:tc>
          <w:tcPr/>
          <w:p>
            <w:pPr>
              <w:pStyle w:val="Compact"/>
            </w:pPr>
            <w:r>
              <w:t xml:space="preserve">Пул для пользователей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10.128.5.0/24</w:t>
            </w:r>
          </w:p>
        </w:tc>
        <w:tc>
          <w:tcPr/>
          <w:p>
            <w:pPr>
              <w:pStyle w:val="Compact"/>
            </w:pPr>
            <w:r>
              <w:t xml:space="preserve">Администрация (ADM)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10.128.5.1</w:t>
            </w:r>
          </w:p>
        </w:tc>
        <w:tc>
          <w:tcPr/>
          <w:p>
            <w:pPr>
              <w:pStyle w:val="Compact"/>
            </w:pPr>
            <w:r>
              <w:t xml:space="preserve">Шлюз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10.128.5.2-10.128.5.254</w:t>
            </w:r>
          </w:p>
        </w:tc>
        <w:tc>
          <w:tcPr/>
          <w:p>
            <w:pPr>
              <w:pStyle w:val="Compact"/>
            </w:pPr>
            <w:r>
              <w:t xml:space="preserve">Пул для пользователей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10.128.6.0/24</w:t>
            </w:r>
          </w:p>
        </w:tc>
        <w:tc>
          <w:tcPr/>
          <w:p>
            <w:pPr>
              <w:pStyle w:val="Compact"/>
            </w:pPr>
            <w:r>
              <w:t xml:space="preserve">Другие пользователи(OTHER)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10.128.6.1</w:t>
            </w:r>
          </w:p>
        </w:tc>
        <w:tc>
          <w:tcPr/>
          <w:p>
            <w:pPr>
              <w:pStyle w:val="Compact"/>
            </w:pPr>
            <w:r>
              <w:t xml:space="preserve">Шлюз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10.128.6.2-10.128.6.254</w:t>
            </w:r>
          </w:p>
        </w:tc>
        <w:tc>
          <w:tcPr/>
          <w:p>
            <w:pPr>
              <w:pStyle w:val="Compact"/>
            </w:pPr>
            <w:r>
              <w:t xml:space="preserve">Пул для пользователей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03" w:name="fig:020"/>
    <w:p>
      <w:pPr>
        <w:pStyle w:val="CaptionedFigure"/>
      </w:pPr>
      <w:r>
        <w:drawing>
          <wp:inline>
            <wp:extent cx="4267200" cy="1961931"/>
            <wp:effectExtent b="0" l="0" r="0" t="0"/>
            <wp:docPr descr="Рис. 20: Настройка шлюза для оконечного устройства" title="" id="101" name="Picture"/>
            <a:graphic>
              <a:graphicData uri="http://schemas.openxmlformats.org/drawingml/2006/picture">
                <pic:pic>
                  <pic:nvPicPr>
                    <pic:cNvPr descr="image/2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61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Настройка шлюза для оконечного устройства</w:t>
      </w:r>
    </w:p>
    <w:bookmarkEnd w:id="103"/>
    <w:bookmarkStart w:id="107" w:name="fig:021"/>
    <w:p>
      <w:pPr>
        <w:pStyle w:val="CaptionedFigure"/>
      </w:pPr>
      <w:r>
        <w:drawing>
          <wp:inline>
            <wp:extent cx="4267200" cy="1961931"/>
            <wp:effectExtent b="0" l="0" r="0" t="0"/>
            <wp:docPr descr="Рис. 21: Настройка IP-адреса для оконечного устройства" title="" id="105" name="Picture"/>
            <a:graphic>
              <a:graphicData uri="http://schemas.openxmlformats.org/drawingml/2006/picture">
                <pic:pic>
                  <pic:nvPicPr>
                    <pic:cNvPr descr="image/2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61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Настройка IP-адреса для оконечного устройства</w:t>
      </w:r>
    </w:p>
    <w:bookmarkEnd w:id="107"/>
    <w:p>
      <w:pPr>
        <w:pStyle w:val="BodyText"/>
      </w:pPr>
      <w:r>
        <w:t xml:space="preserve">Аналогичным образом настраиваются и лругие оконечные устройства.</w:t>
      </w:r>
    </w:p>
    <w:p>
      <w:pPr>
        <w:pStyle w:val="BodyText"/>
      </w:pPr>
      <w:r>
        <w:t xml:space="preserve">Зайдем в терминал оконечного устройства dk-donskaya-omabakumova-1 и выведем некоторую информацию об IP (рис. 22):</w:t>
      </w:r>
    </w:p>
    <w:bookmarkStart w:id="111" w:name="fig:022"/>
    <w:p>
      <w:pPr>
        <w:pStyle w:val="CaptionedFigure"/>
      </w:pPr>
      <w:r>
        <w:drawing>
          <wp:inline>
            <wp:extent cx="4267200" cy="2881660"/>
            <wp:effectExtent b="0" l="0" r="0" t="0"/>
            <wp:docPr descr="Рис. 22: Вывод команды ipconfig" title="" id="109" name="Picture"/>
            <a:graphic>
              <a:graphicData uri="http://schemas.openxmlformats.org/drawingml/2006/picture">
                <pic:pic>
                  <pic:nvPicPr>
                    <pic:cNvPr descr="image/22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81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Вывод команды ipconfig</w:t>
      </w:r>
    </w:p>
    <w:bookmarkEnd w:id="111"/>
    <w:p>
      <w:pPr>
        <w:pStyle w:val="BodyText"/>
      </w:pPr>
      <w:r>
        <w:t xml:space="preserve">Теперь попробуем пропинговать IP-адреса 10.128.3.202 и 10.128.4.202 (рис. 23):</w:t>
      </w:r>
    </w:p>
    <w:bookmarkStart w:id="115" w:name="fig:023"/>
    <w:p>
      <w:pPr>
        <w:pStyle w:val="CaptionedFigure"/>
      </w:pPr>
      <w:r>
        <w:drawing>
          <wp:inline>
            <wp:extent cx="4267200" cy="2635821"/>
            <wp:effectExtent b="0" l="0" r="0" t="0"/>
            <wp:docPr descr="Рис. 23: Пингование IP-адресов" title="" id="113" name="Picture"/>
            <a:graphic>
              <a:graphicData uri="http://schemas.openxmlformats.org/drawingml/2006/picture">
                <pic:pic>
                  <pic:nvPicPr>
                    <pic:cNvPr descr="image/23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35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Пингование IP-адресов</w:t>
      </w:r>
    </w:p>
    <w:bookmarkEnd w:id="115"/>
    <w:p>
      <w:pPr>
        <w:pStyle w:val="BodyText"/>
      </w:pPr>
      <w:r>
        <w:t xml:space="preserve">Как можно заметить первый адрес пропинговался успешной, что не сказать о втором. Это связано с тем что сначала мы пингуем устройства в одной сети, а затем из разных.</w:t>
      </w:r>
    </w:p>
    <w:p>
      <w:pPr>
        <w:pStyle w:val="BodyText"/>
      </w:pPr>
      <w:r>
        <w:t xml:space="preserve">Теперь попробуем запустить симуляцию и отправить пакеты. Для начала из доступных из друг друга сетей (рис. 24):</w:t>
      </w:r>
    </w:p>
    <w:bookmarkStart w:id="119" w:name="fig:024"/>
    <w:p>
      <w:pPr>
        <w:pStyle w:val="CaptionedFigure"/>
      </w:pPr>
      <w:r>
        <w:drawing>
          <wp:inline>
            <wp:extent cx="4267200" cy="2417871"/>
            <wp:effectExtent b="0" l="0" r="0" t="0"/>
            <wp:docPr descr="Рис. 24: Пакеты успешно проходят" title="" id="117" name="Picture"/>
            <a:graphic>
              <a:graphicData uri="http://schemas.openxmlformats.org/drawingml/2006/picture">
                <pic:pic>
                  <pic:nvPicPr>
                    <pic:cNvPr descr="image/24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417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Пакеты успешно проходят</w:t>
      </w:r>
    </w:p>
    <w:bookmarkEnd w:id="119"/>
    <w:p>
      <w:pPr>
        <w:pStyle w:val="BodyText"/>
      </w:pPr>
      <w:r>
        <w:t xml:space="preserve">Также мы можем посмотреть информацию об ICMP-пакете,то есть PDU (рис. 25):</w:t>
      </w:r>
    </w:p>
    <w:bookmarkStart w:id="123" w:name="fig:025"/>
    <w:p>
      <w:pPr>
        <w:pStyle w:val="CaptionedFigure"/>
      </w:pPr>
      <w:r>
        <w:drawing>
          <wp:inline>
            <wp:extent cx="4267200" cy="4127412"/>
            <wp:effectExtent b="0" l="0" r="0" t="0"/>
            <wp:docPr descr="Рис. 25: Информация PDU" title="" id="121" name="Picture"/>
            <a:graphic>
              <a:graphicData uri="http://schemas.openxmlformats.org/drawingml/2006/picture">
                <pic:pic>
                  <pic:nvPicPr>
                    <pic:cNvPr descr="image/25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127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25: Информация PDU</w:t>
      </w:r>
    </w:p>
    <w:bookmarkEnd w:id="123"/>
    <w:p>
      <w:pPr>
        <w:pStyle w:val="BodyText"/>
      </w:pPr>
      <w:r>
        <w:t xml:space="preserve">Но взяв из другой сети, у нас появляются проблемы (рис. 26):</w:t>
      </w:r>
    </w:p>
    <w:bookmarkStart w:id="127" w:name="fig:026"/>
    <w:p>
      <w:pPr>
        <w:pStyle w:val="CaptionedFigure"/>
      </w:pPr>
      <w:r>
        <w:drawing>
          <wp:inline>
            <wp:extent cx="4267200" cy="1979461"/>
            <wp:effectExtent b="0" l="0" r="0" t="0"/>
            <wp:docPr descr="Рис. 26: Пакеты не проходят" title="" id="125" name="Picture"/>
            <a:graphic>
              <a:graphicData uri="http://schemas.openxmlformats.org/drawingml/2006/picture">
                <pic:pic>
                  <pic:nvPicPr>
                    <pic:cNvPr descr="image/26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7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26: Пакеты не проходят</w:t>
      </w:r>
    </w:p>
    <w:bookmarkEnd w:id="127"/>
    <w:bookmarkEnd w:id="128"/>
    <w:bookmarkStart w:id="129" w:name="контрольные-вопрос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Контрольные вопросы</w:t>
      </w:r>
    </w:p>
    <w:p>
      <w:pPr>
        <w:pStyle w:val="Compact"/>
        <w:numPr>
          <w:ilvl w:val="0"/>
          <w:numId w:val="1002"/>
        </w:numPr>
      </w:pPr>
      <w:r>
        <w:t xml:space="preserve">Какая команда используется для просмотра списка VLAN на сетевом устройстве?</w:t>
      </w:r>
    </w:p>
    <w:p>
      <w:pPr>
        <w:pStyle w:val="FirstParagraph"/>
      </w:pPr>
      <w:r>
        <w:t xml:space="preserve">Команда для просмотра списка VLAN зависит от операционной системы сетевого устройства. Например, на устройствах Cisco используется команда show vlan brief, а на устройствах Juniper - show vlans.</w:t>
      </w:r>
    </w:p>
    <w:p>
      <w:pPr>
        <w:pStyle w:val="Compact"/>
        <w:numPr>
          <w:ilvl w:val="0"/>
          <w:numId w:val="1003"/>
        </w:numPr>
      </w:pPr>
      <w:r>
        <w:t xml:space="preserve">Охарактеризуйте VLAN Trunking Protocol (VTP). Приведите перечень команд с пояснениями для настройки и просмотра информации о VLAN.</w:t>
      </w:r>
    </w:p>
    <w:p>
      <w:pPr>
        <w:pStyle w:val="FirstParagraph"/>
      </w:pPr>
      <w:r>
        <w:t xml:space="preserve">VTP (VLAN Trunking Protocol) - это протокол Cisco, предназначенный для упрощения администрирования VLAN в сети. Он позволяет автоматически распространять информацию о VLAN на все коммутаторы в домене VTP, избавляя от необходимости настраивать VLAN вручную на каждом устройстве.</w:t>
      </w:r>
    </w:p>
    <w:p>
      <w:pPr>
        <w:pStyle w:val="Compact"/>
        <w:numPr>
          <w:ilvl w:val="0"/>
          <w:numId w:val="1004"/>
        </w:numPr>
      </w:pPr>
      <w:r>
        <w:t xml:space="preserve">vtp mode [client | server | transparent] - устанавливает режим работы VTP.</w:t>
      </w:r>
    </w:p>
    <w:p>
      <w:pPr>
        <w:pStyle w:val="Compact"/>
        <w:numPr>
          <w:ilvl w:val="0"/>
          <w:numId w:val="1004"/>
        </w:numPr>
      </w:pPr>
      <w:r>
        <w:t xml:space="preserve">vtp domain</w:t>
      </w:r>
      <w:r>
        <w:t xml:space="preserve"> </w:t>
      </w:r>
      <w:r>
        <w:t xml:space="preserve"> </w:t>
      </w:r>
      <w:r>
        <w:t xml:space="preserve">- настраивает имя домена VTP.</w:t>
      </w:r>
    </w:p>
    <w:p>
      <w:pPr>
        <w:pStyle w:val="Compact"/>
        <w:numPr>
          <w:ilvl w:val="0"/>
          <w:numId w:val="1004"/>
        </w:numPr>
      </w:pPr>
      <w:r>
        <w:t xml:space="preserve">vtp password</w:t>
      </w:r>
      <w:r>
        <w:t xml:space="preserve"> </w:t>
      </w:r>
      <w:r>
        <w:t xml:space="preserve"> </w:t>
      </w:r>
      <w:r>
        <w:t xml:space="preserve">- задает пароль для домена VTP.</w:t>
      </w:r>
    </w:p>
    <w:p>
      <w:pPr>
        <w:pStyle w:val="Compact"/>
        <w:numPr>
          <w:ilvl w:val="0"/>
          <w:numId w:val="1004"/>
        </w:numPr>
      </w:pPr>
      <w:r>
        <w:t xml:space="preserve">show vtp status - отображает текущий статус VTP.</w:t>
      </w:r>
    </w:p>
    <w:p>
      <w:pPr>
        <w:pStyle w:val="Compact"/>
        <w:numPr>
          <w:ilvl w:val="0"/>
          <w:numId w:val="1004"/>
        </w:numPr>
      </w:pPr>
      <w:r>
        <w:t xml:space="preserve">show vlan - отображает информацию о VLAN, включая те, которые изучены через VTP.</w:t>
      </w:r>
    </w:p>
    <w:p>
      <w:pPr>
        <w:pStyle w:val="Compact"/>
        <w:numPr>
          <w:ilvl w:val="0"/>
          <w:numId w:val="1005"/>
        </w:numPr>
      </w:pPr>
      <w:r>
        <w:t xml:space="preserve">Охарактеризуйте Internet Control Message Protocol (ICMP). Опишите формат пакета ICMP.</w:t>
      </w:r>
    </w:p>
    <w:p>
      <w:pPr>
        <w:pStyle w:val="FirstParagraph"/>
      </w:pPr>
      <w:r>
        <w:t xml:space="preserve">ICMP (Internet Control Message Protocol) - это протокол сетевого уровня, используемый для отправки сообщений об ошибках и другой информации, связанной с IP. ICMP-пакеты инкапсулируются в IP-пакеты.</w:t>
      </w:r>
    </w:p>
    <w:p>
      <w:pPr>
        <w:pStyle w:val="BodyText"/>
      </w:pPr>
      <w:r>
        <w:t xml:space="preserve">Формат пакета ICMP включает заголовок и данные. Заголовок содержит такие поля, как тип, код, контрольная сумма, а также поля, специфичные для конкретного типа сообщения ICMP (например, адрес назначения, недоступный порт и т.д.). Данные обычно содержат часть исходного пакета, вызвавшего ошибку.</w:t>
      </w:r>
    </w:p>
    <w:p>
      <w:pPr>
        <w:pStyle w:val="Compact"/>
        <w:numPr>
          <w:ilvl w:val="0"/>
          <w:numId w:val="1006"/>
        </w:numPr>
      </w:pPr>
      <w:r>
        <w:t xml:space="preserve">Охарактеризуйте Address Resolution Protocol (ARP). Опишите формат пакета ARP.</w:t>
      </w:r>
    </w:p>
    <w:p>
      <w:pPr>
        <w:pStyle w:val="FirstParagraph"/>
      </w:pPr>
      <w:r>
        <w:t xml:space="preserve">ARP (Address Resolution Protocol) - это протокол, используемый для определения MAC-адреса устройства по его IP-адресу в локальной сети.</w:t>
      </w:r>
    </w:p>
    <w:p>
      <w:pPr>
        <w:pStyle w:val="BodyText"/>
      </w:pPr>
      <w:r>
        <w:t xml:space="preserve">Формат пакета ARP включает аппаратный тип, тип протокола, длину аппаратного адреса, длину адреса протокола, код операции, исходный MAC-адрес, исходный IP-адрес, целевой MAC-адрес и целевой IP-адрес.</w:t>
      </w:r>
    </w:p>
    <w:p>
      <w:pPr>
        <w:pStyle w:val="Compact"/>
        <w:numPr>
          <w:ilvl w:val="0"/>
          <w:numId w:val="1007"/>
        </w:numPr>
      </w:pPr>
      <w:r>
        <w:t xml:space="preserve">Что такое MAC-адрес? Какова его структура?</w:t>
      </w:r>
    </w:p>
    <w:p>
      <w:pPr>
        <w:pStyle w:val="FirstParagraph"/>
      </w:pPr>
      <w:r>
        <w:t xml:space="preserve">MAC-адрес (Media Access Control address) - это уникальный идентификатор, присваиваемый каждому сетевому интерфейсу. Он используется для идентификации устройств в локальной сети.</w:t>
      </w:r>
    </w:p>
    <w:p>
      <w:pPr>
        <w:pStyle w:val="BodyText"/>
      </w:pPr>
      <w:r>
        <w:t xml:space="preserve">MAC-адрес имеет длину 48 бит (6 байт) и обычно записывается в шестнадцатеричном формате, например, 00:1A:2B:3C:4D:5E. Первые 3 байта (OUI - Organizationally Unique Identifier) идентифицируют производителя, а последние 3 байта - уникальный идентификатор интерфейса.</w:t>
      </w:r>
    </w:p>
    <w:bookmarkEnd w:id="129"/>
    <w:bookmarkStart w:id="130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Во время выполнения данной лабораторной работы я приобрела основные навыки по настройке VLAN на коммутаторах сети.</w:t>
      </w:r>
    </w:p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27" Target="media/rId27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5. Конфигурирование VLAN</dc:title>
  <dc:creator>Абакумова Олеся Максимовна, НФИбд-02-22</dc:creator>
  <dc:language>ru-RU</dc:language>
  <cp:keywords/>
  <dcterms:created xsi:type="dcterms:W3CDTF">2025-03-24T16:16:19Z</dcterms:created>
  <dcterms:modified xsi:type="dcterms:W3CDTF">2025-03-24T16:16:19Z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True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IBM Plex Serif</vt:lpwstr>
  </property>
  <property fmtid="{D5CDD505-2E9C-101B-9397-08002B2CF9AE}" pid="61" name="mainfontoptions">
    <vt:lpwstr>Ligatures=Common,Ligatures=TeX,Scale=0.94</vt:lpwstr>
  </property>
  <property fmtid="{D5CDD505-2E9C-101B-9397-08002B2CF9AE}" pid="62" name="mathfont">
    <vt:lpwstr>STIX Two Math</vt:lpwstr>
  </property>
  <property fmtid="{D5CDD505-2E9C-101B-9397-08002B2CF9AE}" pid="63" name="mathfontoptions">
    <vt:lpwstr/>
  </property>
  <property fmtid="{D5CDD505-2E9C-101B-9397-08002B2CF9AE}" pid="64" name="monofont">
    <vt:lpwstr>IBM Plex Mono</vt:lpwstr>
  </property>
  <property fmtid="{D5CDD505-2E9C-101B-9397-08002B2CF9AE}" pid="65" name="monofontoptions">
    <vt:lpwstr>Scale=MatchLowercase,Scale=0.94,FakeStretch=0.9</vt:lpwstr>
  </property>
  <property fmtid="{D5CDD505-2E9C-101B-9397-08002B2CF9AE}" pid="66" name="nameInLink">
    <vt:lpwstr>False</vt:lpwstr>
  </property>
  <property fmtid="{D5CDD505-2E9C-101B-9397-08002B2CF9AE}" pid="67" name="numberSections">
    <vt:lpwstr>False</vt:lpwstr>
  </property>
  <property fmtid="{D5CDD505-2E9C-101B-9397-08002B2CF9AE}" pid="68" name="pairDelim">
    <vt:lpwstr>, </vt:lpwstr>
  </property>
  <property fmtid="{D5CDD505-2E9C-101B-9397-08002B2CF9AE}" pid="69" name="papersize">
    <vt:lpwstr>a4</vt:lpwstr>
  </property>
  <property fmtid="{D5CDD505-2E9C-101B-9397-08002B2CF9AE}" pid="70" name="polyglossia-lang">
    <vt:lpwstr/>
  </property>
  <property fmtid="{D5CDD505-2E9C-101B-9397-08002B2CF9AE}" pid="71" name="polyglossia-otherlangs">
    <vt:lpwstr/>
  </property>
  <property fmtid="{D5CDD505-2E9C-101B-9397-08002B2CF9AE}" pid="72" name="rangeDelim">
    <vt:lpwstr>-</vt:lpwstr>
  </property>
  <property fmtid="{D5CDD505-2E9C-101B-9397-08002B2CF9AE}" pid="73" name="refDelim">
    <vt:lpwstr>, </vt:lpwstr>
  </property>
  <property fmtid="{D5CDD505-2E9C-101B-9397-08002B2CF9AE}" pid="74" name="refIndexTemplate">
    <vt:lpwstr>isuf</vt:lpwstr>
  </property>
  <property fmtid="{D5CDD505-2E9C-101B-9397-08002B2CF9AE}" pid="75" name="romanfont">
    <vt:lpwstr>IBM Plex Serif</vt:lpwstr>
  </property>
  <property fmtid="{D5CDD505-2E9C-101B-9397-08002B2CF9AE}" pid="76" name="romanfontoptions">
    <vt:lpwstr>Ligatures=Common,Ligatures=TeX,Scale=0.94</vt:lpwstr>
  </property>
  <property fmtid="{D5CDD505-2E9C-101B-9397-08002B2CF9AE}" pid="77" name="sansfont">
    <vt:lpwstr>IBM Plex Sans</vt:lpwstr>
  </property>
  <property fmtid="{D5CDD505-2E9C-101B-9397-08002B2CF9AE}" pid="78" name="sansfontoptions">
    <vt:lpwstr>Ligatures=Common,Ligatures=TeX,Scale=MatchLowercase,Scale=0.94</vt:lpwstr>
  </property>
  <property fmtid="{D5CDD505-2E9C-101B-9397-08002B2CF9AE}" pid="79" name="secHeaderDelim">
    <vt:lpwstr> </vt:lpwstr>
  </property>
  <property fmtid="{D5CDD505-2E9C-101B-9397-08002B2CF9AE}" pid="80" name="secHeaderTemplate">
    <vt:lpwstr>isecHeaderDelim[n]t</vt:lpwstr>
  </property>
  <property fmtid="{D5CDD505-2E9C-101B-9397-08002B2CF9AE}" pid="81" name="secLabels">
    <vt:lpwstr>arabic</vt:lpwstr>
  </property>
  <property fmtid="{D5CDD505-2E9C-101B-9397-08002B2CF9AE}" pid="82" name="secPrefix">
    <vt:lpwstr/>
  </property>
  <property fmtid="{D5CDD505-2E9C-101B-9397-08002B2CF9AE}" pid="83" name="secPrefixTemplate">
    <vt:lpwstr>p i</vt:lpwstr>
  </property>
  <property fmtid="{D5CDD505-2E9C-101B-9397-08002B2CF9AE}" pid="84" name="sectionsDepth">
    <vt:lpwstr>0</vt:lpwstr>
  </property>
  <property fmtid="{D5CDD505-2E9C-101B-9397-08002B2CF9AE}" pid="85" name="subfigGrid">
    <vt:lpwstr>False</vt:lpwstr>
  </property>
  <property fmtid="{D5CDD505-2E9C-101B-9397-08002B2CF9AE}" pid="86" name="subfigLabels">
    <vt:lpwstr>alpha a</vt:lpwstr>
  </property>
  <property fmtid="{D5CDD505-2E9C-101B-9397-08002B2CF9AE}" pid="87" name="subfigureChildTemplate">
    <vt:lpwstr>i</vt:lpwstr>
  </property>
  <property fmtid="{D5CDD505-2E9C-101B-9397-08002B2CF9AE}" pid="88" name="subfigureRefIndexTemplate">
    <vt:lpwstr>isuf (s)</vt:lpwstr>
  </property>
  <property fmtid="{D5CDD505-2E9C-101B-9397-08002B2CF9AE}" pid="89" name="subfigureTemplate">
    <vt:lpwstr>figureTitle ititleDelim t. ccs</vt:lpwstr>
  </property>
  <property fmtid="{D5CDD505-2E9C-101B-9397-08002B2CF9AE}" pid="90" name="tableEqns">
    <vt:lpwstr>False</vt:lpwstr>
  </property>
  <property fmtid="{D5CDD505-2E9C-101B-9397-08002B2CF9AE}" pid="91" name="tableTemplate">
    <vt:lpwstr>tableTitle ititleDelim t</vt:lpwstr>
  </property>
  <property fmtid="{D5CDD505-2E9C-101B-9397-08002B2CF9AE}" pid="92" name="tableTitle">
    <vt:lpwstr>Таблица</vt:lpwstr>
  </property>
  <property fmtid="{D5CDD505-2E9C-101B-9397-08002B2CF9AE}" pid="93" name="tblLabels">
    <vt:lpwstr>arabic</vt:lpwstr>
  </property>
  <property fmtid="{D5CDD505-2E9C-101B-9397-08002B2CF9AE}" pid="94" name="tblPrefix">
    <vt:lpwstr/>
  </property>
  <property fmtid="{D5CDD505-2E9C-101B-9397-08002B2CF9AE}" pid="95" name="tblPrefixTemplate">
    <vt:lpwstr>p i</vt:lpwstr>
  </property>
  <property fmtid="{D5CDD505-2E9C-101B-9397-08002B2CF9AE}" pid="96" name="titleDelim">
    <vt:lpwstr>:</vt:lpwstr>
  </property>
  <property fmtid="{D5CDD505-2E9C-101B-9397-08002B2CF9AE}" pid="97" name="toc">
    <vt:lpwstr>True</vt:lpwstr>
  </property>
  <property fmtid="{D5CDD505-2E9C-101B-9397-08002B2CF9AE}" pid="98" name="toc-depth">
    <vt:lpwstr>2</vt:lpwstr>
  </property>
  <property fmtid="{D5CDD505-2E9C-101B-9397-08002B2CF9AE}" pid="99" name="toc-title">
    <vt:lpwstr>Содержание</vt:lpwstr>
  </property>
</Properties>
</file>