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7. Учёт физических параметров сети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физической рабочей областью Packet Tracer,а также учесть физические параметры сети.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Требуется заменить соединение между коммутаторами двух территорий</w:t>
      </w:r>
      <w:r>
        <w:t xml:space="preserve"> </w:t>
      </w:r>
      <w:r>
        <w:t xml:space="preserve">msk-donskaya-sw-1 и msk-pavlovskaya-sw-1 на соединение, учитывающее физические параметры сети, а именно — расстояние между двумя</w:t>
      </w:r>
      <w:r>
        <w:t xml:space="preserve"> </w:t>
      </w:r>
      <w:r>
        <w:t xml:space="preserve">территориями.</w:t>
      </w:r>
      <w:r>
        <w:t xml:space="preserve"> </w:t>
      </w:r>
      <w:r>
        <w:t xml:space="preserve">При выполнении работы необходимо учитывать соглашение об именовании</w:t>
      </w:r>
    </w:p>
    <w:bookmarkEnd w:id="21"/>
    <w:bookmarkStart w:id="7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Открыв проект предыдущей лабораторной работы перейдем в физическую область Packet Tracer. Присвоим назва-</w:t>
      </w:r>
      <w:r>
        <w:t xml:space="preserve"> </w:t>
      </w:r>
      <w:r>
        <w:t xml:space="preserve">ние городу — Moscow (рис. 1):</w:t>
      </w:r>
    </w:p>
    <w:bookmarkStart w:id="25" w:name="fig:001"/>
    <w:p>
      <w:pPr>
        <w:pStyle w:val="CaptionedFigure"/>
      </w:pPr>
      <w:r>
        <w:drawing>
          <wp:inline>
            <wp:extent cx="4267200" cy="4008120"/>
            <wp:effectExtent b="0" l="0" r="0" t="0"/>
            <wp:docPr descr="Рис. 1: Присвоенное название города в физичекой област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08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Присвоенное название города в физичекой области</w:t>
      </w:r>
    </w:p>
    <w:bookmarkEnd w:id="25"/>
    <w:p>
      <w:pPr>
        <w:pStyle w:val="BodyText"/>
      </w:pPr>
      <w:r>
        <w:t xml:space="preserve">Щёлкнув на изображении города, мы увидим изображение здания.</w:t>
      </w:r>
      <w:r>
        <w:t xml:space="preserve"> </w:t>
      </w:r>
      <w:r>
        <w:t xml:space="preserve">Присвоим ему название Donskaya. Добавим здание для территории</w:t>
      </w:r>
      <w:r>
        <w:t xml:space="preserve"> </w:t>
      </w:r>
      <w:r>
        <w:t xml:space="preserve">Pavlovskaya (рис. 2):</w:t>
      </w:r>
    </w:p>
    <w:bookmarkStart w:id="29" w:name="fig:002"/>
    <w:p>
      <w:pPr>
        <w:pStyle w:val="CaptionedFigure"/>
      </w:pPr>
      <w:r>
        <w:drawing>
          <wp:inline>
            <wp:extent cx="4267200" cy="1635468"/>
            <wp:effectExtent b="0" l="0" r="0" t="0"/>
            <wp:docPr descr="Рис. 2: Здания Donskaya и Pavlovskaya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35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Здания Donskaya и Pavlovskaya</w:t>
      </w:r>
    </w:p>
    <w:bookmarkEnd w:id="29"/>
    <w:p>
      <w:pPr>
        <w:pStyle w:val="BodyText"/>
      </w:pPr>
      <w:r>
        <w:t xml:space="preserve">Щёлкнув на изображении здания Donskaya, переместим изображение, обозначающее серверное помещение.Щёлкнув на изображении серверной, мы увидим отображение серверных стоек (рис. 3):</w:t>
      </w:r>
    </w:p>
    <w:bookmarkStart w:id="33" w:name="fig:003"/>
    <w:p>
      <w:pPr>
        <w:pStyle w:val="CaptionedFigure"/>
      </w:pPr>
      <w:r>
        <w:drawing>
          <wp:inline>
            <wp:extent cx="3390900" cy="9626600"/>
            <wp:effectExtent b="0" l="0" r="0" t="0"/>
            <wp:docPr descr="Рис. 3: Серверное помещение Donskaya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962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Серверное помещение Donskaya</w:t>
      </w:r>
    </w:p>
    <w:bookmarkEnd w:id="33"/>
    <w:p>
      <w:pPr>
        <w:pStyle w:val="BodyText"/>
      </w:pPr>
      <w:r>
        <w:t xml:space="preserve">Переместим коммутатор msk-pavlovskaya-sw-1 и два оконечных устройства dk-pavlovskaya-1 и other-pavlovskaya-1 на территорию Pavlovskaya,</w:t>
      </w:r>
      <w:r>
        <w:t xml:space="preserve"> </w:t>
      </w:r>
      <w:r>
        <w:t xml:space="preserve">используя меню Move физической рабочей области Packet Tracer (рис. 4):</w:t>
      </w:r>
    </w:p>
    <w:bookmarkStart w:id="37" w:name="fig:004"/>
    <w:p>
      <w:pPr>
        <w:pStyle w:val="CaptionedFigure"/>
      </w:pPr>
      <w:r>
        <w:drawing>
          <wp:inline>
            <wp:extent cx="4267200" cy="1931593"/>
            <wp:effectExtent b="0" l="0" r="0" t="0"/>
            <wp:docPr descr="Рис. 4: Оконечные устройства dk-pavlovskaya-1 и other-pavlovskaya-1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31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Оконечные устройства dk-pavlovskaya-1 и other-pavlovskaya-1</w:t>
      </w:r>
    </w:p>
    <w:bookmarkEnd w:id="37"/>
    <w:bookmarkStart w:id="41" w:name="fig:005"/>
    <w:p>
      <w:pPr>
        <w:pStyle w:val="CaptionedFigure"/>
      </w:pPr>
      <w:r>
        <w:drawing>
          <wp:inline>
            <wp:extent cx="4267200" cy="1931593"/>
            <wp:effectExtent b="0" l="0" r="0" t="0"/>
            <wp:docPr descr="Рис. 5: Перемещение оконечных устройств с помощью Move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31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Перемещение оконечных устройств с помощью Move</w:t>
      </w:r>
    </w:p>
    <w:bookmarkEnd w:id="41"/>
    <w:p>
      <w:pPr>
        <w:pStyle w:val="BodyText"/>
      </w:pPr>
      <w:r>
        <w:t xml:space="preserve">Вернувшись в логическую рабочую область Packet Tracer, пропингуем с коммутатора msk-donskaya-sw-1 коммутатор msk-pavlovskaya-sw-1.</w:t>
      </w:r>
      <w:r>
        <w:t xml:space="preserve"> </w:t>
      </w:r>
      <w:r>
        <w:t xml:space="preserve">Убедимся в работоспособности соединения (рис. 6):</w:t>
      </w:r>
    </w:p>
    <w:bookmarkStart w:id="45" w:name="fig:006"/>
    <w:p>
      <w:pPr>
        <w:pStyle w:val="CaptionedFigure"/>
      </w:pPr>
      <w:r>
        <w:drawing>
          <wp:inline>
            <wp:extent cx="4267200" cy="2394420"/>
            <wp:effectExtent b="0" l="0" r="0" t="0"/>
            <wp:docPr descr="Рис. 6: Пингование коммутатора msk-pavlovskaya-sw-1(успех)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94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Пингование коммутатора msk-pavlovskaya-sw-1(успех)</w:t>
      </w:r>
    </w:p>
    <w:bookmarkEnd w:id="45"/>
    <w:p>
      <w:pPr>
        <w:pStyle w:val="BodyText"/>
      </w:pPr>
      <w:r>
        <w:t xml:space="preserve">В меню Options , Preferences во вкладке Interface активируем разрешение</w:t>
      </w:r>
      <w:r>
        <w:t xml:space="preserve"> </w:t>
      </w:r>
      <w:r>
        <w:t xml:space="preserve">на учёт физических характеристик среды передачи (Enable Cable Length Effects) и в физической рабочей области Packet Tracer разместим две территории на</w:t>
      </w:r>
      <w:r>
        <w:t xml:space="preserve"> </w:t>
      </w:r>
      <w:r>
        <w:t xml:space="preserve">расстоянии более 100 м друг от друга (рекомендуемое расстояние — около 1000 м или более) (рис. 7):</w:t>
      </w:r>
    </w:p>
    <w:bookmarkStart w:id="49" w:name="fig:007"/>
    <w:p>
      <w:pPr>
        <w:pStyle w:val="CaptionedFigure"/>
      </w:pPr>
      <w:r>
        <w:drawing>
          <wp:inline>
            <wp:extent cx="4267200" cy="2005727"/>
            <wp:effectExtent b="0" l="0" r="0" t="0"/>
            <wp:docPr descr="Рис. 7: Размещение на расстоянии более 1000 м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05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Размещение на расстоянии более 1000 м</w:t>
      </w:r>
    </w:p>
    <w:bookmarkEnd w:id="49"/>
    <w:p>
      <w:pPr>
        <w:pStyle w:val="BodyText"/>
      </w:pPr>
      <w:r>
        <w:t xml:space="preserve">Вернувшись в логическую рабочую область Packet Tracer, пропингуем с коммутатора msk-donskaya-sw-1 коммутатор msk-pavlovskaya-sw-1.</w:t>
      </w:r>
      <w:r>
        <w:t xml:space="preserve"> </w:t>
      </w:r>
      <w:r>
        <w:t xml:space="preserve">Убедимся в</w:t>
      </w:r>
      <w:r>
        <w:t xml:space="preserve"> </w:t>
      </w:r>
      <w:r>
        <w:rPr>
          <w:b/>
          <w:bCs/>
        </w:rPr>
        <w:t xml:space="preserve">неработоспособности</w:t>
      </w:r>
      <w:r>
        <w:t xml:space="preserve"> </w:t>
      </w:r>
      <w:r>
        <w:t xml:space="preserve">соединения (рис. 8):</w:t>
      </w:r>
    </w:p>
    <w:bookmarkStart w:id="53" w:name="fig:008"/>
    <w:p>
      <w:pPr>
        <w:pStyle w:val="CaptionedFigure"/>
      </w:pPr>
      <w:r>
        <w:drawing>
          <wp:inline>
            <wp:extent cx="4267200" cy="2232411"/>
            <wp:effectExtent b="0" l="0" r="0" t="0"/>
            <wp:docPr descr="Рис. 8: Пингование коммутатора msk-pavlovskaya-sw-1(неудача)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32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Пингование коммутатора msk-pavlovskaya-sw-1(неудача)</w:t>
      </w:r>
    </w:p>
    <w:bookmarkEnd w:id="53"/>
    <w:p>
      <w:pPr>
        <w:pStyle w:val="BodyText"/>
      </w:pPr>
      <w:r>
        <w:t xml:space="preserve">Удалим соединение между msk-donskaya-sw-1 и msk-pavlovskaya-sw-1.</w:t>
      </w:r>
      <w:r>
        <w:t xml:space="preserve"> </w:t>
      </w:r>
      <w:r>
        <w:t xml:space="preserve">Добавим в логическую рабочую область два повторителя (Repeater-</w:t>
      </w:r>
      <w:r>
        <w:t xml:space="preserve"> </w:t>
      </w:r>
      <w:r>
        <w:t xml:space="preserve">PT). Присвоим им соответствующие названия msk-donskaya-mc-1</w:t>
      </w:r>
      <w:r>
        <w:t xml:space="preserve"> </w:t>
      </w:r>
      <w:r>
        <w:t xml:space="preserve">и msk-pavlovskaya-mc-1. Заменим имеющиеся модули на PT-REPEATER-</w:t>
      </w:r>
      <w:r>
        <w:t xml:space="preserve"> </w:t>
      </w:r>
      <w:r>
        <w:t xml:space="preserve">NM-1FFE и PT-REPEATER-NM-1CFE для подключения оптоволокна</w:t>
      </w:r>
      <w:r>
        <w:t xml:space="preserve"> </w:t>
      </w:r>
      <w:r>
        <w:t xml:space="preserve">и витой пары по технологии Fast Ethernet (рис. 9):</w:t>
      </w:r>
    </w:p>
    <w:bookmarkStart w:id="57" w:name="fig:009"/>
    <w:p>
      <w:pPr>
        <w:pStyle w:val="CaptionedFigure"/>
      </w:pPr>
      <w:r>
        <w:drawing>
          <wp:inline>
            <wp:extent cx="4267200" cy="1969724"/>
            <wp:effectExtent b="0" l="0" r="0" t="0"/>
            <wp:docPr descr="Рис. 9: Удаление соединения между коммутаторами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69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Удаление соединения между коммутаторами</w:t>
      </w:r>
    </w:p>
    <w:bookmarkEnd w:id="57"/>
    <w:bookmarkStart w:id="61" w:name="fig:010"/>
    <w:p>
      <w:pPr>
        <w:pStyle w:val="CaptionedFigure"/>
      </w:pPr>
      <w:r>
        <w:drawing>
          <wp:inline>
            <wp:extent cx="4267200" cy="3021836"/>
            <wp:effectExtent b="0" l="0" r="0" t="0"/>
            <wp:docPr descr="Рис. 10: Настройка модуля для msk-donskaya-omabakumova-mc-1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21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модуля для msk-donskaya-omabakumova-mc-1</w:t>
      </w:r>
    </w:p>
    <w:bookmarkEnd w:id="61"/>
    <w:bookmarkStart w:id="65" w:name="fig:011"/>
    <w:p>
      <w:pPr>
        <w:pStyle w:val="CaptionedFigure"/>
      </w:pPr>
      <w:r>
        <w:drawing>
          <wp:inline>
            <wp:extent cx="4267200" cy="3021836"/>
            <wp:effectExtent b="0" l="0" r="0" t="0"/>
            <wp:docPr descr="Рис. 11: Настройка модуля для msk-pavlovskaya-omabakumova-mc-1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21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модуля для msk-pavlovskaya-omabakumova-mc-1</w:t>
      </w:r>
    </w:p>
    <w:bookmarkEnd w:id="65"/>
    <w:p>
      <w:pPr>
        <w:pStyle w:val="BodyText"/>
      </w:pPr>
      <w:r>
        <w:t xml:space="preserve">Переместим msk-pavlovskaya-mc-1 на территорию Pavlovskaya (в физиче-</w:t>
      </w:r>
      <w:r>
        <w:t xml:space="preserve"> </w:t>
      </w:r>
      <w:r>
        <w:t xml:space="preserve">ской рабочей области Packet Tracer).</w:t>
      </w:r>
      <w:r>
        <w:t xml:space="preserve"> </w:t>
      </w:r>
      <w:r>
        <w:t xml:space="preserve">Подключим коммутатор msk-donskaya-sw-1 к msk-donskaya-mc-1 по витой паре, msk-donskaya-mc-1 и msk-pavlovskaya-mc-1 — по оптоволокну,</w:t>
      </w:r>
      <w:r>
        <w:t xml:space="preserve"> </w:t>
      </w:r>
      <w:r>
        <w:t xml:space="preserve">msk-pavlovskaya-sw-1 к msk-pavlovskaya-mc-1 — по витой паре</w:t>
      </w:r>
    </w:p>
    <w:bookmarkStart w:id="69" w:name="fig:012"/>
    <w:p>
      <w:pPr>
        <w:pStyle w:val="CaptionedFigure"/>
      </w:pPr>
      <w:r>
        <w:drawing>
          <wp:inline>
            <wp:extent cx="4267200" cy="1990695"/>
            <wp:effectExtent b="0" l="0" r="0" t="0"/>
            <wp:docPr descr="Рис. 12: Итоговая схема с повторителями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90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Итоговая схема с повторителями</w:t>
      </w:r>
    </w:p>
    <w:bookmarkEnd w:id="69"/>
    <w:p>
      <w:pPr>
        <w:pStyle w:val="BodyText"/>
      </w:pPr>
      <w:r>
        <w:t xml:space="preserve">Переместим msk-pavlovskaya-mc-1 на территорию Pavlovskaya (в физической рабочей области Packet Tracer) (рис. 13):</w:t>
      </w:r>
    </w:p>
    <w:bookmarkStart w:id="73" w:name="fig:013"/>
    <w:p>
      <w:pPr>
        <w:pStyle w:val="CaptionedFigure"/>
      </w:pPr>
      <w:r>
        <w:drawing>
          <wp:inline>
            <wp:extent cx="4267200" cy="5977643"/>
            <wp:effectExtent b="0" l="0" r="0" t="0"/>
            <wp:docPr descr="Рис. 13: Перемещение msk-pavlovskaya-mc-1, остался только msk-donskaya-mc-1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977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Перемещение msk-pavlovskaya-mc-1, остался только msk-donskaya-mc-1</w:t>
      </w:r>
    </w:p>
    <w:bookmarkEnd w:id="73"/>
    <w:p>
      <w:pPr>
        <w:pStyle w:val="BodyText"/>
      </w:pPr>
      <w:r>
        <w:t xml:space="preserve">Убедимся в работоспособности соединения между msk-donskaya-sw-1 и msk-pavlovskaya-sw-1 (рис. 14):</w:t>
      </w:r>
    </w:p>
    <w:bookmarkStart w:id="77" w:name="fig:014"/>
    <w:p>
      <w:pPr>
        <w:pStyle w:val="CaptionedFigure"/>
      </w:pPr>
      <w:r>
        <w:drawing>
          <wp:inline>
            <wp:extent cx="4267200" cy="2519754"/>
            <wp:effectExtent b="0" l="0" r="0" t="0"/>
            <wp:docPr descr="Рис. 14: Пингование коммутатора msk-pavlovskaya-sw-1(успех)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19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Пингование коммутатора msk-pavlovskaya-sw-1(успех)</w:t>
      </w:r>
    </w:p>
    <w:bookmarkEnd w:id="77"/>
    <w:bookmarkEnd w:id="78"/>
    <w:bookmarkStart w:id="7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Перечислите возможные среды передачи данных. На какие характеристики среды передачи данных следует обращать внимание при планировании сети?</w:t>
      </w:r>
      <w:r>
        <w:br/>
      </w:r>
      <w:r>
        <w:t xml:space="preserve">Среди возможных сред передачи данных можно выделить следующие: витая пара (экраненная и неэкраненная), коаксиальный кабель, оптоволокно, радиосигналы (Wi-Fi), инфракрасные сигналы и спутниковая связь. При планировании сети следует обращать внимание на такие характеристики, как ширина полосы пропускания, дальность передачи, устойчивость к помехам, стоимость, легкость установки и обслуживания, а также требования к безопасности и надежности.</w:t>
      </w:r>
    </w:p>
    <w:p>
      <w:pPr>
        <w:numPr>
          <w:ilvl w:val="0"/>
          <w:numId w:val="1002"/>
        </w:numPr>
      </w:pPr>
      <w:r>
        <w:t xml:space="preserve">Перечислите категории витой пары. Чем они отличаются? Какая категория в каких условиях может применяться?</w:t>
      </w:r>
      <w:r>
        <w:br/>
      </w:r>
      <w:r>
        <w:t xml:space="preserve">Существует несколько категорий витой пары, среди которых наиболее распространены: Cat 5e, Cat 6, Cat 6a, Cat 7 и Cat 8. Основные отличия между ними заключаются в максимальной скорости передачи данных и частотах:</w:t>
      </w:r>
    </w:p>
    <w:p>
      <w:pPr>
        <w:numPr>
          <w:ilvl w:val="0"/>
          <w:numId w:val="1003"/>
        </w:numPr>
      </w:pPr>
      <w:r>
        <w:t xml:space="preserve">Cat 5e поддерживает скорость до 1 Гбит/с на расстоянии до 100 метров и частоту до 100 МГц.</w:t>
      </w:r>
    </w:p>
    <w:p>
      <w:pPr>
        <w:numPr>
          <w:ilvl w:val="0"/>
          <w:numId w:val="1003"/>
        </w:numPr>
      </w:pPr>
      <w:r>
        <w:t xml:space="preserve">Cat 6 поддерживает скорость до 10 Гбит/с на расстоянии до 55 метров и частоту до 250 МГц.</w:t>
      </w:r>
    </w:p>
    <w:p>
      <w:pPr>
        <w:numPr>
          <w:ilvl w:val="0"/>
          <w:numId w:val="1003"/>
        </w:numPr>
      </w:pPr>
      <w:r>
        <w:t xml:space="preserve">Cat 6a поддерживает скорость до 10 Гбит/с на расстоянии до 100 метров и частоту до 500 МГц.</w:t>
      </w:r>
    </w:p>
    <w:p>
      <w:pPr>
        <w:numPr>
          <w:ilvl w:val="0"/>
          <w:numId w:val="1003"/>
        </w:numPr>
      </w:pPr>
      <w:r>
        <w:t xml:space="preserve">Cat 7 поддерживает скорость до 10 Гбит/с на расстоянии до 100 метров и частоту до 600 МГц с улучшенной защитой от помех.</w:t>
      </w:r>
    </w:p>
    <w:p>
      <w:pPr>
        <w:numPr>
          <w:ilvl w:val="0"/>
          <w:numId w:val="1003"/>
        </w:numPr>
      </w:pPr>
      <w:r>
        <w:t xml:space="preserve">Cat 8 поддерживает скорость до 25-40 Гбит/с на расстоянии до 30 метров и частоту до 2000 МГц.</w:t>
      </w:r>
      <w:r>
        <w:br/>
      </w:r>
      <w:r>
        <w:t xml:space="preserve">Каждая категория используется в зависимости от требований к скорости и расстоянию передачи данных: например, Cat 5e можно использовать для домашних сетей, а Cat 6a и выше — для дата-центров и корпоративных сетей.</w:t>
      </w:r>
    </w:p>
    <w:p>
      <w:pPr>
        <w:numPr>
          <w:ilvl w:val="0"/>
          <w:numId w:val="1004"/>
        </w:numPr>
      </w:pPr>
      <w:r>
        <w:t xml:space="preserve">В чем отличие одномодового и многомодового оптоволокна? Какой тип кабеля в каких условиях может применяться?</w:t>
      </w:r>
      <w:r>
        <w:br/>
      </w:r>
      <w:r>
        <w:t xml:space="preserve">Одномодовое оптоволокно имеет более узкое сердечник (обычно около 9 мкм) и предназначено для передачи света от одного источника (лазера) на большие расстояния (до нескольких километров) с высокой пропускной способностью и минимальными потерями. Оно используется в магистральных линиях связи и сетях с высокой нагрузкой. Многомодовое оптоволокно имеет более широкий сердечник (обычно от 50 до 62.5 мкм) и используется для передачи света от нескольких источников (светодиодов) на короткие расстояния (до нескольких сотен метров). Оно применяется в локальных сетях, таких как офисные здания или кампусы.</w:t>
      </w:r>
    </w:p>
    <w:p>
      <w:pPr>
        <w:numPr>
          <w:ilvl w:val="0"/>
          <w:numId w:val="1004"/>
        </w:numPr>
      </w:pPr>
      <w:r>
        <w:t xml:space="preserve">Какие разъёмы встречаются на патчах оптоволокна? Чем они отличаются?</w:t>
      </w:r>
      <w:r>
        <w:br/>
      </w:r>
      <w:r>
        <w:t xml:space="preserve">На патчах оптоволокна встречаются различные разъемы, среди которых наиболее распространены SC, LC, ST, MTP/MPO. Разъем SC (Square Connector) — это квадратный разъем с простым механическим соединением, часто используется в телекоммуникациях. LC (Lucent Connector) — это компактный разъем с меньшими размерами, что позволяет экономить место в панелях распределения. ST (Straight Tip) — это разъем с байонетным замком, который часто используется в старых системах. MTP/MPO (Multi-fiber Push On/Pull Off) — это разъем для многомодового волокна, который позволяет подключать сразу несколько волокон, что удобно для высокопроизводительных систем. Каждый тип разъема имеет свои особенности подключения и применения в зависимости от требований системы.</w:t>
      </w:r>
    </w:p>
    <w:bookmarkEnd w:id="79"/>
    <w:bookmarkStart w:id="8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данной лабораторной работы я приобрела навыки работы с физической рабочей областью Packet Tracer,а также учла физические параметры сети.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7. Учёт физических параметров сети</dc:title>
  <dc:creator>Абакумова Олеся Максимовна, НФИбд-02-22</dc:creator>
  <dc:language>ru-RU</dc:language>
  <cp:keywords/>
  <dcterms:created xsi:type="dcterms:W3CDTF">2025-03-29T19:46:15Z</dcterms:created>
  <dcterms:modified xsi:type="dcterms:W3CDTF">2025-03-29T19:46:15Z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