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4. Первоначальное конфигурирование сети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Провести подготовительную работу по первоначальной настройке коммутаторов сети.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Требуется сделать первоначальную настройку коммутаторов сети. Под первоначальной</w:t>
      </w:r>
      <w:r>
        <w:t xml:space="preserve"> </w:t>
      </w:r>
      <w:r>
        <w:t xml:space="preserve">настройкой понимается указание имени устройства, его IP-адреса, настройка</w:t>
      </w:r>
      <w:r>
        <w:t xml:space="preserve"> </w:t>
      </w:r>
      <w:r>
        <w:t xml:space="preserve">доступа по паролю к виртуальным терминалам и консоли, настройка удалённого доступа к устройству по ssh.</w:t>
      </w:r>
    </w:p>
    <w:bookmarkEnd w:id="21"/>
    <w:bookmarkStart w:id="5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логической рабочей области Packet Tracer разместим коммутаторы и око-</w:t>
      </w:r>
      <w:r>
        <w:t xml:space="preserve"> </w:t>
      </w:r>
      <w:r>
        <w:t xml:space="preserve">нечные устройства согласно схеме сети L1 (рис. 1):</w:t>
      </w:r>
    </w:p>
    <w:bookmarkStart w:id="25" w:name="fig:001"/>
    <w:p>
      <w:pPr>
        <w:pStyle w:val="CaptionedFigure"/>
      </w:pPr>
      <w:r>
        <w:drawing>
          <wp:inline>
            <wp:extent cx="4267200" cy="2178336"/>
            <wp:effectExtent b="0" l="0" r="0" t="0"/>
            <wp:docPr descr="Рис. 1: Размещение коммутаторов и оконечных устройств согласно схеме сети L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78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Размещение коммутаторов и оконечных устройств согласно схеме сети L1</w:t>
      </w:r>
    </w:p>
    <w:bookmarkEnd w:id="25"/>
    <w:p>
      <w:pPr>
        <w:pStyle w:val="BodyText"/>
      </w:pPr>
      <w:r>
        <w:t xml:space="preserve">Используя типовую конфигурацию коммутатора, настроим</w:t>
      </w:r>
      <w:r>
        <w:t xml:space="preserve"> </w:t>
      </w:r>
      <w:r>
        <w:t xml:space="preserve">все коммутаторы, изменяя название устройства и его IP-адрес согласно</w:t>
      </w:r>
      <w:r>
        <w:t xml:space="preserve"> </w:t>
      </w:r>
      <w:r>
        <w:t xml:space="preserve">плану IP (табл. 1).</w:t>
      </w:r>
    </w:p>
    <w:bookmarkStart w:id="26" w:name="tbl:ip"/>
    <w:p>
      <w:pPr>
        <w:pStyle w:val="TableCaption"/>
      </w:pPr>
      <w:r>
        <w:t xml:space="preserve">Таблица 1: Таблица IP. Сеть 10.128.0.0/16(сеть класс A)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1: Таблица IP. Сеть 10.128.0.0/16(сеть класс A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IP-адреса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10.128.0.0/16</w:t>
            </w:r>
          </w:p>
        </w:tc>
        <w:tc>
          <w:tcPr/>
          <w:p>
            <w:pPr>
              <w:pStyle w:val="Compact"/>
            </w:pPr>
            <w:r>
              <w:t xml:space="preserve">Вся сеть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10.128.0.0/24</w:t>
            </w:r>
          </w:p>
        </w:tc>
        <w:tc>
          <w:tcPr/>
          <w:p>
            <w:pPr>
              <w:pStyle w:val="Compact"/>
            </w:pPr>
            <w:r>
              <w:t xml:space="preserve">Серверная ферма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10.128.0.1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10.128.0.2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10.128.0.3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10.128.0.4</w:t>
            </w:r>
          </w:p>
        </w:tc>
        <w:tc>
          <w:tcPr/>
          <w:p>
            <w:pPr>
              <w:pStyle w:val="Compact"/>
            </w:pPr>
            <w:r>
              <w:t xml:space="preserve">Mail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10.128.0.5</w:t>
            </w:r>
          </w:p>
        </w:tc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10.128.0.6-10.128.0.254</w:t>
            </w:r>
          </w:p>
        </w:tc>
        <w:tc>
          <w:tcPr/>
          <w:p>
            <w:pPr>
              <w:pStyle w:val="Compac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10.128.1.0/24</w:t>
            </w:r>
          </w:p>
        </w:tc>
        <w:tc>
          <w:tcPr/>
          <w:p>
            <w:pPr>
              <w:pStyle w:val="Compact"/>
            </w:pPr>
            <w:r>
              <w:t xml:space="preserve">Управление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10.128.1.1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10.128.1.2</w:t>
            </w:r>
          </w:p>
        </w:tc>
        <w:tc>
          <w:tcPr/>
          <w:p>
            <w:pPr>
              <w:pStyle w:val="Compac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10.128.1.3</w:t>
            </w:r>
          </w:p>
        </w:tc>
        <w:tc>
          <w:tcPr/>
          <w:p>
            <w:pPr>
              <w:pStyle w:val="Compac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10.128.1.4</w:t>
            </w:r>
          </w:p>
        </w:tc>
        <w:tc>
          <w:tcPr/>
          <w:p>
            <w:pPr>
              <w:pStyle w:val="Compac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10.128.1.5</w:t>
            </w:r>
          </w:p>
        </w:tc>
        <w:tc>
          <w:tcPr/>
          <w:p>
            <w:pPr>
              <w:pStyle w:val="Compac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10.128.1.6</w:t>
            </w:r>
          </w:p>
        </w:tc>
        <w:tc>
          <w:tcPr/>
          <w:p>
            <w:pPr>
              <w:pStyle w:val="Compac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10.128.1.7-10.128.1.254</w:t>
            </w:r>
          </w:p>
        </w:tc>
        <w:tc>
          <w:tcPr/>
          <w:p>
            <w:pPr>
              <w:pStyle w:val="Compac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10.128.2.0/24</w:t>
            </w:r>
          </w:p>
        </w:tc>
        <w:tc>
          <w:tcPr/>
          <w:p>
            <w:pPr>
              <w:pStyle w:val="Compact"/>
            </w:pPr>
            <w:r>
              <w:t xml:space="preserve">Сеть Point-to-Point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10.128.2.1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10.128.2.2-10.128.2.254</w:t>
            </w:r>
          </w:p>
        </w:tc>
        <w:tc>
          <w:tcPr/>
          <w:p>
            <w:pPr>
              <w:pStyle w:val="Compac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10.128.3.0/24</w:t>
            </w:r>
          </w:p>
        </w:tc>
        <w:tc>
          <w:tcPr/>
          <w:p>
            <w:pPr>
              <w:pStyle w:val="Compact"/>
            </w:pPr>
            <w:r>
              <w:t xml:space="preserve">Дисплейные классы(DK)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10.128.3.1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10.128.3.2-10.128.3.254</w:t>
            </w:r>
          </w:p>
        </w:tc>
        <w:tc>
          <w:tcPr/>
          <w:p>
            <w:pPr>
              <w:pStyle w:val="Compac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10.128.4.0/24</w:t>
            </w:r>
          </w:p>
        </w:tc>
        <w:tc>
          <w:tcPr/>
          <w:p>
            <w:pPr>
              <w:pStyle w:val="Compact"/>
            </w:pPr>
            <w:r>
              <w:t xml:space="preserve">Кафедра (DEP)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10.128.4.1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10.128.4.2-10.128.4.254</w:t>
            </w:r>
          </w:p>
        </w:tc>
        <w:tc>
          <w:tcPr/>
          <w:p>
            <w:pPr>
              <w:pStyle w:val="Compac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10.128.5.0/24</w:t>
            </w:r>
          </w:p>
        </w:tc>
        <w:tc>
          <w:tcPr/>
          <w:p>
            <w:pPr>
              <w:pStyle w:val="Compact"/>
            </w:pPr>
            <w:r>
              <w:t xml:space="preserve">Администрация (ADM)</w:t>
            </w:r>
          </w:p>
        </w:tc>
        <w:tc>
          <w:tcPr/>
          <w:p>
            <w:pPr>
              <w:pStyle w:val="Compac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10.128.5.1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10.128.5.2-10.128.5.254</w:t>
            </w:r>
          </w:p>
        </w:tc>
        <w:tc>
          <w:tcPr/>
          <w:p>
            <w:pPr>
              <w:pStyle w:val="Compac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10.128.6.0/24</w:t>
            </w:r>
          </w:p>
        </w:tc>
        <w:tc>
          <w:tcPr/>
          <w:p>
            <w:pPr>
              <w:pStyle w:val="Compact"/>
            </w:pPr>
            <w:r>
              <w:t xml:space="preserve">Другие пользователи(OTHER)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10.128.6.1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10.128.6.2-10.128.6.254</w:t>
            </w:r>
          </w:p>
        </w:tc>
        <w:tc>
          <w:tcPr/>
          <w:p>
            <w:pPr>
              <w:pStyle w:val="Compac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p>
      <w:pPr>
        <w:pStyle w:val="BodyText"/>
      </w:pPr>
      <w:r>
        <w:t xml:space="preserve">Настроим первый коммутатор msk-donskaya-omabakumova-sw-1 (рис. 2):</w:t>
      </w:r>
    </w:p>
    <w:bookmarkStart w:id="30" w:name="fig:002"/>
    <w:p>
      <w:pPr>
        <w:pStyle w:val="CaptionedFigure"/>
      </w:pPr>
      <w:r>
        <w:drawing>
          <wp:inline>
            <wp:extent cx="4267200" cy="4342664"/>
            <wp:effectExtent b="0" l="0" r="0" t="0"/>
            <wp:docPr descr="Рис. 2: Настройка msk-donskaya-omabakumova-sw-1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342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msk-donskaya-omabakumova-sw-1</w:t>
      </w:r>
    </w:p>
    <w:bookmarkEnd w:id="30"/>
    <w:p>
      <w:pPr>
        <w:pStyle w:val="BodyText"/>
      </w:pPr>
      <w:r>
        <w:t xml:space="preserve">Аналогичным образом проведем настройку для всех оставшихся коммутаторов:</w:t>
      </w:r>
    </w:p>
    <w:p>
      <w:pPr>
        <w:pStyle w:val="Compact"/>
        <w:numPr>
          <w:ilvl w:val="0"/>
          <w:numId w:val="1001"/>
        </w:numPr>
      </w:pPr>
      <w:r>
        <w:t xml:space="preserve">Для msk-donskaya-sw-2 (рис. 3):</w:t>
      </w:r>
    </w:p>
    <w:bookmarkStart w:id="34" w:name="fig:003"/>
    <w:p>
      <w:pPr>
        <w:pStyle w:val="CaptionedFigure"/>
      </w:pPr>
      <w:r>
        <w:drawing>
          <wp:inline>
            <wp:extent cx="3733800" cy="3379629"/>
            <wp:effectExtent b="0" l="0" r="0" t="0"/>
            <wp:docPr descr="Рис. 3: Настройка msk-donskaya-omabakumova-sw-2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9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msk-donskaya-omabakumova-sw-2</w:t>
      </w:r>
    </w:p>
    <w:bookmarkEnd w:id="34"/>
    <w:p>
      <w:pPr>
        <w:pStyle w:val="Compact"/>
        <w:numPr>
          <w:ilvl w:val="0"/>
          <w:numId w:val="1002"/>
        </w:numPr>
      </w:pPr>
      <w:r>
        <w:t xml:space="preserve">Для msk-donskaya-sw-3 (рис. 4):</w:t>
      </w:r>
    </w:p>
    <w:bookmarkStart w:id="38" w:name="fig:004"/>
    <w:p>
      <w:pPr>
        <w:pStyle w:val="CaptionedFigure"/>
      </w:pPr>
      <w:r>
        <w:drawing>
          <wp:inline>
            <wp:extent cx="3733800" cy="3493684"/>
            <wp:effectExtent b="0" l="0" r="0" t="0"/>
            <wp:docPr descr="Рис. 4: Настройка msk-donskaya-omabakumova-sw-3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93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msk-donskaya-omabakumova-sw-3</w:t>
      </w:r>
    </w:p>
    <w:bookmarkEnd w:id="38"/>
    <w:p>
      <w:pPr>
        <w:pStyle w:val="Compact"/>
        <w:numPr>
          <w:ilvl w:val="0"/>
          <w:numId w:val="1003"/>
        </w:numPr>
      </w:pPr>
      <w:r>
        <w:t xml:space="preserve">Для msk-donskaya-sw-4 (рис. 5):</w:t>
      </w:r>
    </w:p>
    <w:bookmarkStart w:id="42" w:name="fig:005"/>
    <w:p>
      <w:pPr>
        <w:pStyle w:val="CaptionedFigure"/>
      </w:pPr>
      <w:r>
        <w:drawing>
          <wp:inline>
            <wp:extent cx="3733800" cy="3493684"/>
            <wp:effectExtent b="0" l="0" r="0" t="0"/>
            <wp:docPr descr="Рис. 5: Настройка msk-donskaya-omabakumova-sw-4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93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msk-donskaya-omabakumova-sw-4</w:t>
      </w:r>
    </w:p>
    <w:bookmarkEnd w:id="42"/>
    <w:p>
      <w:pPr>
        <w:pStyle w:val="BodyText"/>
      </w:pPr>
      <w:r>
        <w:t xml:space="preserve">Нам осталось провести настройку для коммутатора из другой области по аналогии (рис. 6):</w:t>
      </w:r>
    </w:p>
    <w:bookmarkStart w:id="46" w:name="fig:006"/>
    <w:p>
      <w:pPr>
        <w:pStyle w:val="CaptionedFigure"/>
      </w:pPr>
      <w:r>
        <w:drawing>
          <wp:inline>
            <wp:extent cx="3733800" cy="4054348"/>
            <wp:effectExtent b="0" l="0" r="0" t="0"/>
            <wp:docPr descr="Рис. 6: Настройка msk-pavlovskaya-omabakumova-sw-1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4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msk-pavlovskaya-omabakumova-sw-1</w:t>
      </w:r>
    </w:p>
    <w:bookmarkEnd w:id="46"/>
    <w:p>
      <w:pPr>
        <w:pStyle w:val="BodyText"/>
      </w:pPr>
      <w:r>
        <w:t xml:space="preserve">При настройке msk-donskaya-omabakumova-sw-1 я допустила ошибку в именовании.Я все исправила (рис. 7):</w:t>
      </w:r>
    </w:p>
    <w:bookmarkStart w:id="50" w:name="fig:007"/>
    <w:p>
      <w:pPr>
        <w:pStyle w:val="CaptionedFigure"/>
      </w:pPr>
      <w:r>
        <w:drawing>
          <wp:inline>
            <wp:extent cx="3733800" cy="2107311"/>
            <wp:effectExtent b="0" l="0" r="0" t="0"/>
            <wp:docPr descr="Рис. 7: Выполнение соглашения об именовании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7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Выполнение соглашения об именовании</w:t>
      </w:r>
    </w:p>
    <w:bookmarkEnd w:id="50"/>
    <w:bookmarkEnd w:id="51"/>
    <w:bookmarkStart w:id="52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4"/>
        </w:numPr>
      </w:pPr>
      <w:r>
        <w:t xml:space="preserve">При помощи каких команд можно посмотреть конфигурацию сетевого оборудования?</w:t>
      </w:r>
      <w:r>
        <w:br/>
      </w:r>
      <w:r>
        <w:t xml:space="preserve">Для просмотра конфигурации сетевого оборудования обычно используются команды show running-config или show startup-config в Cisco IOS, а также cat /etc/network/interfaces в Linux.</w:t>
      </w:r>
    </w:p>
    <w:p>
      <w:pPr>
        <w:numPr>
          <w:ilvl w:val="0"/>
          <w:numId w:val="1004"/>
        </w:numPr>
      </w:pPr>
      <w:r>
        <w:t xml:space="preserve">При помощи каких команд можно посмотреть стартовый конфигурационный файл оборудования?</w:t>
      </w:r>
      <w:r>
        <w:br/>
      </w:r>
      <w:r>
        <w:t xml:space="preserve">Для просмотра стартового конфигурационного файла оборудования используется команда show startup-config в Cisco IOS.</w:t>
      </w:r>
    </w:p>
    <w:p>
      <w:pPr>
        <w:numPr>
          <w:ilvl w:val="0"/>
          <w:numId w:val="1004"/>
        </w:numPr>
      </w:pPr>
      <w:r>
        <w:t xml:space="preserve">При помощи каких команд можно экспортировать конфигурационный файл оборудования?</w:t>
      </w:r>
      <w:r>
        <w:br/>
      </w:r>
      <w:r>
        <w:t xml:space="preserve">Для экспорта конфигурационного файла оборудования в Cisco IOS используется команда copy running-config startup-config для сохранения текущей конфигурации, а также copy running-config tftp: или copy running-config ftp: для отправки конфигурации на TFTP или FTP сервер.</w:t>
      </w:r>
    </w:p>
    <w:p>
      <w:pPr>
        <w:numPr>
          <w:ilvl w:val="0"/>
          <w:numId w:val="1004"/>
        </w:numPr>
      </w:pPr>
      <w:r>
        <w:t xml:space="preserve">При помощи каких команд можно импортировать конфигурационный файл оборудования?</w:t>
      </w:r>
      <w:r>
        <w:br/>
      </w:r>
      <w:r>
        <w:t xml:space="preserve">Для импорта конфигурационного файла оборудования в Cisco IOS используется команда copy tftp: running-config или copy ftp: running-config, чтобы загрузить конфигурацию с TFTP или FTP сервера.</w:t>
      </w:r>
    </w:p>
    <w:bookmarkEnd w:id="52"/>
    <w:bookmarkStart w:id="53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Во время выполнения данной лабораторной работы я провела подготовительную работу по первоначальной настройке коммутаторов сети.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4. Первоначальное конфигурирование сети</dc:title>
  <dc:creator>Абакумова Олеся Максимовна, НФИбд-02-22</dc:creator>
  <dc:language>ru-RU</dc:language>
  <cp:keywords/>
  <dcterms:created xsi:type="dcterms:W3CDTF">2025-03-08T19:47:20Z</dcterms:created>
  <dcterms:modified xsi:type="dcterms:W3CDTF">2025-03-08T19:47:20Z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