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8. Настройка сетевых сервисов DHCP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</w:t>
      </w:r>
      <w:r>
        <w:t xml:space="preserve"> </w:t>
      </w:r>
      <w:r>
        <w:t xml:space="preserve">Protocol) в локальной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DNS-записи для домена donskaya.rudn.ru на сервер dns.</w:t>
      </w:r>
    </w:p>
    <w:p>
      <w:pPr>
        <w:pStyle w:val="Compact"/>
        <w:numPr>
          <w:ilvl w:val="0"/>
          <w:numId w:val="1001"/>
        </w:numPr>
      </w:pPr>
      <w:r>
        <w:t xml:space="preserve">Настроить DHCP-сервис на маршрутизаторе.</w:t>
      </w:r>
    </w:p>
    <w:p>
      <w:pPr>
        <w:pStyle w:val="Compact"/>
        <w:numPr>
          <w:ilvl w:val="0"/>
          <w:numId w:val="1001"/>
        </w:numPr>
      </w:pPr>
      <w:r>
        <w:t xml:space="preserve">Заменить в конфигурации оконечных устройствах статическое распределение адресов на динамическое.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1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логическую рабочую область проекта добавим сервер dns и подключим</w:t>
      </w:r>
      <w:r>
        <w:t xml:space="preserve"> </w:t>
      </w:r>
      <w:r>
        <w:t xml:space="preserve">его к коммутатору msk-donskaya-sw-3 через порт Fa0/2 (рис. 8.1), не забыв</w:t>
      </w:r>
      <w:r>
        <w:t xml:space="preserve"> </w:t>
      </w:r>
      <w:r>
        <w:t xml:space="preserve">активировать порт при помощи соответствующих команд на коммутаторе.</w:t>
      </w:r>
      <w:r>
        <w:t xml:space="preserve"> </w:t>
      </w:r>
      <w:r>
        <w:t xml:space="preserve">В конфигурации сервера укажите в качестве адреса шлюза 10.128.0.1,</w:t>
      </w:r>
      <w:r>
        <w:t xml:space="preserve"> </w:t>
      </w:r>
      <w:r>
        <w:t xml:space="preserve">а в качестве адреса самого сервера — 10.128.0.5 с соответствующей маской</w:t>
      </w:r>
      <w:r>
        <w:t xml:space="preserve"> </w:t>
      </w:r>
      <w:r>
        <w:t xml:space="preserve">255.255.255.0.(рис. 1):</w:t>
      </w:r>
    </w:p>
    <w:bookmarkStart w:id="25" w:name="fig:001"/>
    <w:p>
      <w:pPr>
        <w:pStyle w:val="CaptionedFigure"/>
      </w:pPr>
      <w:r>
        <w:drawing>
          <wp:inline>
            <wp:extent cx="4267200" cy="2085473"/>
            <wp:effectExtent b="0" l="0" r="0" t="0"/>
            <wp:docPr descr="Рис. 1: Добавление сервера dn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85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сервера dns</w:t>
      </w:r>
    </w:p>
    <w:bookmarkEnd w:id="25"/>
    <w:bookmarkStart w:id="29" w:name="fig:002"/>
    <w:p>
      <w:pPr>
        <w:pStyle w:val="CaptionedFigure"/>
      </w:pPr>
      <w:r>
        <w:drawing>
          <wp:inline>
            <wp:extent cx="4267200" cy="3546997"/>
            <wp:effectExtent b="0" l="0" r="0" t="0"/>
            <wp:docPr descr="Рис. 2: Указание шлюза для сервера dn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Указание шлюза для сервера dns</w:t>
      </w:r>
    </w:p>
    <w:bookmarkEnd w:id="29"/>
    <w:bookmarkStart w:id="33" w:name="fig:003"/>
    <w:p>
      <w:pPr>
        <w:pStyle w:val="CaptionedFigure"/>
      </w:pPr>
      <w:r>
        <w:drawing>
          <wp:inline>
            <wp:extent cx="4267200" cy="3546997"/>
            <wp:effectExtent b="0" l="0" r="0" t="0"/>
            <wp:docPr descr="Рис. 3: Указание адреса самого сервера и его маск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Указание адреса самого сервера и его маски</w:t>
      </w:r>
    </w:p>
    <w:bookmarkEnd w:id="33"/>
    <w:bookmarkStart w:id="37" w:name="fig:004"/>
    <w:p>
      <w:pPr>
        <w:pStyle w:val="CaptionedFigure"/>
      </w:pPr>
      <w:r>
        <w:drawing>
          <wp:inline>
            <wp:extent cx="4267200" cy="3546997"/>
            <wp:effectExtent b="0" l="0" r="0" t="0"/>
            <wp:docPr descr="Рис. 4: Активация порт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Активация порта</w:t>
      </w:r>
    </w:p>
    <w:bookmarkEnd w:id="37"/>
    <w:p>
      <w:pPr>
        <w:pStyle w:val="BodyText"/>
      </w:pPr>
      <w:r>
        <w:t xml:space="preserve">Настроим сервис DNS (рис. 5):</w:t>
      </w:r>
    </w:p>
    <w:p>
      <w:pPr>
        <w:numPr>
          <w:ilvl w:val="0"/>
          <w:numId w:val="1002"/>
        </w:numPr>
      </w:pPr>
      <w:r>
        <w:t xml:space="preserve">в конфигурации сервера выберем службу DNS, активируем её (выбрав</w:t>
      </w:r>
      <w:r>
        <w:t xml:space="preserve"> </w:t>
      </w:r>
      <w:r>
        <w:t xml:space="preserve">флаг On);</w:t>
      </w:r>
    </w:p>
    <w:p>
      <w:pPr>
        <w:numPr>
          <w:ilvl w:val="0"/>
          <w:numId w:val="1002"/>
        </w:numPr>
      </w:pPr>
      <w:r>
        <w:t xml:space="preserve">в поле Type в качестве типа записи DNS выберем записи типа A</w:t>
      </w:r>
      <w:r>
        <w:t xml:space="preserve"> </w:t>
      </w:r>
      <w:r>
        <w:t xml:space="preserve">(A Record);</w:t>
      </w:r>
    </w:p>
    <w:p>
      <w:pPr>
        <w:numPr>
          <w:ilvl w:val="0"/>
          <w:numId w:val="1002"/>
        </w:numPr>
      </w:pPr>
      <w:r>
        <w:t xml:space="preserve">в поле Name укажем доменное имя, по которому можно обратиться,</w:t>
      </w:r>
      <w:r>
        <w:t xml:space="preserve"> </w:t>
      </w:r>
      <w:r>
        <w:t xml:space="preserve">например, к web-серверу — www.donskaya.rudn.ru, затем укажем его</w:t>
      </w:r>
      <w:r>
        <w:t xml:space="preserve"> </w:t>
      </w:r>
      <w:r>
        <w:t xml:space="preserve">IP-адрес в соответствующем поле 10.128.0.2;</w:t>
      </w:r>
    </w:p>
    <w:p>
      <w:pPr>
        <w:numPr>
          <w:ilvl w:val="0"/>
          <w:numId w:val="1002"/>
        </w:numPr>
      </w:pPr>
      <w:r>
        <w:t xml:space="preserve">нажав на кнопку Add , добавим DNS-запись на сервер;</w:t>
      </w:r>
    </w:p>
    <w:p>
      <w:pPr>
        <w:numPr>
          <w:ilvl w:val="0"/>
          <w:numId w:val="1002"/>
        </w:numPr>
      </w:pPr>
      <w:r>
        <w:t xml:space="preserve">аналогичным образом добавим DNS-записи для серверов mail, file, dns</w:t>
      </w:r>
      <w:r>
        <w:t xml:space="preserve"> </w:t>
      </w:r>
      <w:r>
        <w:t xml:space="preserve">согласно распределению адресов согласно 1;</w:t>
      </w:r>
    </w:p>
    <w:p>
      <w:pPr>
        <w:numPr>
          <w:ilvl w:val="0"/>
          <w:numId w:val="1002"/>
        </w:numPr>
      </w:pPr>
      <w:r>
        <w:t xml:space="preserve">сохраним конфигурацию сервера.</w:t>
      </w:r>
    </w:p>
    <w:bookmarkStart w:id="38" w:name="tbl:reg"/>
    <w:p>
      <w:pPr>
        <w:pStyle w:val="TableCaption"/>
      </w:pPr>
      <w:r>
        <w:t xml:space="preserve">Таблица 1: Регламент выделения ip-адресов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Регламент выделения ip-адресов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2–19</w:t>
            </w:r>
          </w:p>
        </w:tc>
        <w:tc>
          <w:tcPr/>
          <w:p>
            <w:pPr>
              <w:pStyle w:val="Compac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20–29</w:t>
            </w:r>
          </w:p>
        </w:tc>
        <w:tc>
          <w:tcPr/>
          <w:p>
            <w:pPr>
              <w:pStyle w:val="Compac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30–199</w:t>
            </w:r>
          </w:p>
        </w:tc>
        <w:tc>
          <w:tcPr/>
          <w:p>
            <w:pPr>
              <w:pStyle w:val="Compact"/>
            </w:pPr>
            <w:r>
              <w:t xml:space="preserve">Компьютеры,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200–219</w:t>
            </w:r>
          </w:p>
        </w:tc>
        <w:tc>
          <w:tcPr/>
          <w:p>
            <w:pPr>
              <w:pStyle w:val="Compact"/>
            </w:pPr>
            <w:r>
              <w:t xml:space="preserve">Компьютеры, 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220–229</w:t>
            </w:r>
          </w:p>
        </w:tc>
        <w:tc>
          <w:tcPr/>
          <w:p>
            <w:pPr>
              <w:pStyle w:val="Compac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230–254</w:t>
            </w:r>
          </w:p>
        </w:tc>
        <w:tc>
          <w:tcPr/>
          <w:p>
            <w:pPr>
              <w:pStyle w:val="Compact"/>
            </w:pPr>
            <w:r>
              <w:t xml:space="preserve">Резерв</w:t>
            </w:r>
          </w:p>
        </w:tc>
      </w:tr>
    </w:tbl>
    <w:bookmarkEnd w:id="38"/>
    <w:bookmarkStart w:id="42" w:name="fig:005"/>
    <w:p>
      <w:pPr>
        <w:pStyle w:val="CaptionedFigure"/>
      </w:pPr>
      <w:r>
        <w:drawing>
          <wp:inline>
            <wp:extent cx="4267200" cy="1234733"/>
            <wp:effectExtent b="0" l="0" r="0" t="0"/>
            <wp:docPr descr="Рис. 5: Настройка сервиса DNS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сервиса DNS</w:t>
      </w:r>
    </w:p>
    <w:bookmarkEnd w:id="42"/>
    <w:p>
      <w:pPr>
        <w:pStyle w:val="BodyText"/>
      </w:pPr>
      <w:r>
        <w:t xml:space="preserve">Настроим DHCP-сервис на маршрутизаторе: укажем IP-адрес DNS-сервера;</w:t>
      </w:r>
      <w:r>
        <w:t xml:space="preserve"> </w:t>
      </w:r>
      <w:r>
        <w:t xml:space="preserve">затем перейдем к настройке DHCP; зададим название конфигурируемому</w:t>
      </w:r>
      <w:r>
        <w:t xml:space="preserve"> </w:t>
      </w:r>
      <w:r>
        <w:t xml:space="preserve">диапазону адресов (пулу адресов), укажем адрес сети, а также адреса шлюза и DNS-сервера;</w:t>
      </w:r>
      <w:r>
        <w:t xml:space="preserve"> </w:t>
      </w:r>
      <w:r>
        <w:t xml:space="preserve">зададим пулы адресов, исключаемых из динамического</w:t>
      </w:r>
      <w:r>
        <w:t xml:space="preserve"> </w:t>
      </w:r>
      <w:r>
        <w:t xml:space="preserve">распределения (рис. 6):</w:t>
      </w:r>
    </w:p>
    <w:bookmarkStart w:id="46" w:name="fig:006"/>
    <w:p>
      <w:pPr>
        <w:pStyle w:val="CaptionedFigure"/>
      </w:pPr>
      <w:r>
        <w:drawing>
          <wp:inline>
            <wp:extent cx="4267200" cy="3645835"/>
            <wp:effectExtent b="0" l="0" r="0" t="0"/>
            <wp:docPr descr="Рис. 6: Настройка DHCP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45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DHCP</w:t>
      </w:r>
    </w:p>
    <w:bookmarkEnd w:id="46"/>
    <w:bookmarkStart w:id="50" w:name="fig:007"/>
    <w:p>
      <w:pPr>
        <w:pStyle w:val="CaptionedFigure"/>
      </w:pPr>
      <w:r>
        <w:drawing>
          <wp:inline>
            <wp:extent cx="4267200" cy="3110118"/>
            <wp:effectExtent b="0" l="0" r="0" t="0"/>
            <wp:docPr descr="Рис. 7: Настройка DHCP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1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DHCP</w:t>
      </w:r>
    </w:p>
    <w:bookmarkEnd w:id="50"/>
    <w:bookmarkStart w:id="54" w:name="fig:008"/>
    <w:p>
      <w:pPr>
        <w:pStyle w:val="CaptionedFigure"/>
      </w:pPr>
      <w:r>
        <w:drawing>
          <wp:inline>
            <wp:extent cx="4267200" cy="3110118"/>
            <wp:effectExtent b="0" l="0" r="0" t="0"/>
            <wp:docPr descr="Рис. 8: Настройка DHCP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1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DHCP</w:t>
      </w:r>
    </w:p>
    <w:bookmarkEnd w:id="54"/>
    <w:bookmarkStart w:id="58" w:name="fig:009"/>
    <w:p>
      <w:pPr>
        <w:pStyle w:val="CaptionedFigure"/>
      </w:pPr>
      <w:r>
        <w:drawing>
          <wp:inline>
            <wp:extent cx="4267200" cy="2343643"/>
            <wp:effectExtent b="0" l="0" r="0" t="0"/>
            <wp:docPr descr="Рис. 9: Настройка DHCP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43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DHCP</w:t>
      </w:r>
    </w:p>
    <w:bookmarkEnd w:id="58"/>
    <w:p>
      <w:pPr>
        <w:pStyle w:val="BodyText"/>
      </w:pPr>
      <w:r>
        <w:t xml:space="preserve">Выведем информацию о пулах DHCP (рис. 10):</w:t>
      </w:r>
    </w:p>
    <w:bookmarkStart w:id="62" w:name="fig:010"/>
    <w:p>
      <w:pPr>
        <w:pStyle w:val="CaptionedFigure"/>
      </w:pPr>
      <w:r>
        <w:drawing>
          <wp:inline>
            <wp:extent cx="4267200" cy="3515465"/>
            <wp:effectExtent b="0" l="0" r="0" t="0"/>
            <wp:docPr descr="Рис. 10: Вывод команды “sh ip dhcp pool”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15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Вывод команды</w:t>
      </w:r>
      <w:r>
        <w:t xml:space="preserve"> </w:t>
      </w:r>
      <w:r>
        <w:t xml:space="preserve">“sh ip dhcp pool”</w:t>
      </w:r>
    </w:p>
    <w:bookmarkEnd w:id="62"/>
    <w:p>
      <w:pPr>
        <w:pStyle w:val="BodyText"/>
      </w:pPr>
      <w:r>
        <w:t xml:space="preserve">Выведем информацию об привязках выданных адресов (рис. 11):</w:t>
      </w:r>
    </w:p>
    <w:bookmarkStart w:id="66" w:name="fig:011"/>
    <w:p>
      <w:pPr>
        <w:pStyle w:val="CaptionedFigure"/>
      </w:pPr>
      <w:r>
        <w:drawing>
          <wp:inline>
            <wp:extent cx="4267200" cy="368497"/>
            <wp:effectExtent b="0" l="0" r="0" t="0"/>
            <wp:docPr descr="Рис. 11: Вывод команды “sh ip dhcp binding”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8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 команды</w:t>
      </w:r>
      <w:r>
        <w:t xml:space="preserve"> </w:t>
      </w:r>
      <w:r>
        <w:t xml:space="preserve">“sh ip dhcp binding”</w:t>
      </w:r>
    </w:p>
    <w:bookmarkEnd w:id="66"/>
    <w:p>
      <w:pPr>
        <w:pStyle w:val="BodyText"/>
      </w:pPr>
      <w:r>
        <w:t xml:space="preserve">На оконечных устройствах заменим в настройках статическое распределение адресов на динамическое. Рассмотрим подробно на примере dk-donskaya-omabakumova-1 (рис. 12):</w:t>
      </w:r>
    </w:p>
    <w:bookmarkStart w:id="70" w:name="fig:012"/>
    <w:p>
      <w:pPr>
        <w:pStyle w:val="CaptionedFigure"/>
      </w:pPr>
      <w:r>
        <w:drawing>
          <wp:inline>
            <wp:extent cx="4267200" cy="3149295"/>
            <wp:effectExtent b="0" l="0" r="0" t="0"/>
            <wp:docPr descr="Рис. 12: Смена распределния на динамическое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4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Смена распределния на динамическое</w:t>
      </w:r>
    </w:p>
    <w:bookmarkEnd w:id="70"/>
    <w:p>
      <w:pPr>
        <w:pStyle w:val="BodyText"/>
      </w:pPr>
      <w:r>
        <w:t xml:space="preserve">Первоначально при запросе вывода информации у нас не будет никаких изменений (рис. 13):</w:t>
      </w:r>
    </w:p>
    <w:bookmarkStart w:id="74" w:name="fig:013"/>
    <w:p>
      <w:pPr>
        <w:pStyle w:val="CaptionedFigure"/>
      </w:pPr>
      <w:r>
        <w:drawing>
          <wp:inline>
            <wp:extent cx="4267200" cy="2103828"/>
            <wp:effectExtent b="0" l="0" r="0" t="0"/>
            <wp:docPr descr="Рис. 13: “ipconfig” на dk-donskaya-omabakumova-1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</w:t>
      </w:r>
      <w:r>
        <w:t xml:space="preserve"> </w:t>
      </w:r>
      <w:r>
        <w:t xml:space="preserve">“ipconfig”</w:t>
      </w:r>
      <w:r>
        <w:t xml:space="preserve"> </w:t>
      </w:r>
      <w:r>
        <w:t xml:space="preserve">на dk-donskaya-omabakumova-1</w:t>
      </w:r>
    </w:p>
    <w:bookmarkEnd w:id="74"/>
    <w:bookmarkStart w:id="78" w:name="fig:014"/>
    <w:p>
      <w:pPr>
        <w:pStyle w:val="CaptionedFigure"/>
      </w:pPr>
      <w:r>
        <w:drawing>
          <wp:inline>
            <wp:extent cx="4267200" cy="2103828"/>
            <wp:effectExtent b="0" l="0" r="0" t="0"/>
            <wp:docPr descr="Рис. 14: “ipconfig /all” на dk-donskaya-omabakumova-1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</w:t>
      </w:r>
      <w:r>
        <w:t xml:space="preserve"> </w:t>
      </w:r>
      <w:r>
        <w:t xml:space="preserve">“ipconfig /all”</w:t>
      </w:r>
      <w:r>
        <w:t xml:space="preserve"> </w:t>
      </w:r>
      <w:r>
        <w:t xml:space="preserve">на dk-donskaya-omabakumova-1</w:t>
      </w:r>
    </w:p>
    <w:bookmarkEnd w:id="78"/>
    <w:p>
      <w:pPr>
        <w:pStyle w:val="BodyText"/>
      </w:pPr>
      <w:r>
        <w:t xml:space="preserve">Но через некоторое время запроса вывода информации мы увидим, что распределение сменилось на динамическое (рис. 15):</w:t>
      </w:r>
    </w:p>
    <w:bookmarkStart w:id="82" w:name="fig:015"/>
    <w:p>
      <w:pPr>
        <w:pStyle w:val="CaptionedFigure"/>
      </w:pPr>
      <w:r>
        <w:drawing>
          <wp:inline>
            <wp:extent cx="4267200" cy="2103828"/>
            <wp:effectExtent b="0" l="0" r="0" t="0"/>
            <wp:docPr descr="Рис. 15: “ipconfig /all” на dk-donskaya-omabakumova-1, но с изменением в распределении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</w:t>
      </w:r>
      <w:r>
        <w:t xml:space="preserve"> </w:t>
      </w:r>
      <w:r>
        <w:t xml:space="preserve">“ipconfig /all”</w:t>
      </w:r>
      <w:r>
        <w:t xml:space="preserve"> </w:t>
      </w:r>
      <w:r>
        <w:t xml:space="preserve">на dk-donskaya-omabakumova-1, но с изменением в распределении</w:t>
      </w:r>
    </w:p>
    <w:bookmarkEnd w:id="82"/>
    <w:p>
      <w:pPr>
        <w:pStyle w:val="BodyText"/>
      </w:pPr>
      <w:r>
        <w:t xml:space="preserve">Проделаем аналогичную смену статического распределения на динамическое на всех оконечных устройствах (рис. 16):</w:t>
      </w:r>
    </w:p>
    <w:bookmarkStart w:id="86" w:name="fig:016"/>
    <w:p>
      <w:pPr>
        <w:pStyle w:val="CaptionedFigure"/>
      </w:pPr>
      <w:r>
        <w:drawing>
          <wp:inline>
            <wp:extent cx="4267200" cy="2102767"/>
            <wp:effectExtent b="0" l="0" r="0" t="0"/>
            <wp:docPr descr="Рис. 16: Настройка динамического распределения на adm-donskaya-omabakumova-1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динамического распределения на adm-donskaya-omabakumova-1</w:t>
      </w:r>
    </w:p>
    <w:bookmarkEnd w:id="86"/>
    <w:bookmarkStart w:id="90" w:name="fig:017"/>
    <w:p>
      <w:pPr>
        <w:pStyle w:val="CaptionedFigure"/>
      </w:pPr>
      <w:r>
        <w:drawing>
          <wp:inline>
            <wp:extent cx="4267200" cy="2102767"/>
            <wp:effectExtent b="0" l="0" r="0" t="0"/>
            <wp:docPr descr="Рис. 17: Настройка динамического распределения на other-donskaya-omabakumova-1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динамического распределения на other-donskaya-omabakumova-1</w:t>
      </w:r>
    </w:p>
    <w:bookmarkEnd w:id="90"/>
    <w:bookmarkStart w:id="94" w:name="fig:018"/>
    <w:p>
      <w:pPr>
        <w:pStyle w:val="CaptionedFigure"/>
      </w:pPr>
      <w:r>
        <w:drawing>
          <wp:inline>
            <wp:extent cx="4267200" cy="2102767"/>
            <wp:effectExtent b="0" l="0" r="0" t="0"/>
            <wp:docPr descr="Рис. 18: Настройка динамического распределения на dep-donskaya-omabakumova-1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динамического распределения на dep-donskaya-omabakumova-1</w:t>
      </w:r>
    </w:p>
    <w:bookmarkEnd w:id="94"/>
    <w:bookmarkStart w:id="98" w:name="fig:019"/>
    <w:p>
      <w:pPr>
        <w:pStyle w:val="CaptionedFigure"/>
      </w:pPr>
      <w:r>
        <w:drawing>
          <wp:inline>
            <wp:extent cx="4267200" cy="2102767"/>
            <wp:effectExtent b="0" l="0" r="0" t="0"/>
            <wp:docPr descr="Рис. 19: Настройка динамического распределения на dk-pavlovskaya-omabakumova-1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динамического распределения на dk-pavlovskaya-omabakumova-1</w:t>
      </w:r>
    </w:p>
    <w:bookmarkEnd w:id="98"/>
    <w:bookmarkStart w:id="102" w:name="fig:020"/>
    <w:p>
      <w:pPr>
        <w:pStyle w:val="CaptionedFigure"/>
      </w:pPr>
      <w:r>
        <w:drawing>
          <wp:inline>
            <wp:extent cx="4267200" cy="2102767"/>
            <wp:effectExtent b="0" l="0" r="0" t="0"/>
            <wp:docPr descr="Рис. 20: Настройка динамического распределения на other-pavlovskaya-omabakumova-1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динамического распределения на other-pavlovskaya-omabakumova-1</w:t>
      </w:r>
    </w:p>
    <w:bookmarkEnd w:id="102"/>
    <w:p>
      <w:pPr>
        <w:pStyle w:val="BodyText"/>
      </w:pPr>
      <w:r>
        <w:t xml:space="preserve">Теперь проверим доступность,пропингуем адреса (рис. 21):</w:t>
      </w:r>
    </w:p>
    <w:bookmarkStart w:id="106" w:name="fig:021"/>
    <w:p>
      <w:pPr>
        <w:pStyle w:val="CaptionedFigure"/>
      </w:pPr>
      <w:r>
        <w:drawing>
          <wp:inline>
            <wp:extent cx="4267200" cy="2610678"/>
            <wp:effectExtent b="0" l="0" r="0" t="0"/>
            <wp:docPr descr="Рис. 21: Пингование адресов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1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Пингование адресов</w:t>
      </w:r>
    </w:p>
    <w:bookmarkEnd w:id="106"/>
    <w:p>
      <w:pPr>
        <w:pStyle w:val="BodyText"/>
      </w:pPr>
      <w:r>
        <w:t xml:space="preserve">Пинг не сразу конечно же проходил,но через пару упорных попыток пакеты были отправлены и получены без потерь.</w:t>
      </w:r>
    </w:p>
    <w:p>
      <w:pPr>
        <w:pStyle w:val="BodyText"/>
      </w:pPr>
      <w:r>
        <w:t xml:space="preserve">Также можно поизучать www.donskaya.rudn.ru в</w:t>
      </w:r>
      <w:r>
        <w:t xml:space="preserve"> </w:t>
      </w:r>
      <w:r>
        <w:t xml:space="preserve">“Web Browser”</w:t>
      </w:r>
      <w:r>
        <w:t xml:space="preserve"> </w:t>
      </w:r>
      <w:r>
        <w:t xml:space="preserve">(рис. 22):</w:t>
      </w:r>
    </w:p>
    <w:bookmarkStart w:id="110" w:name="fig:022"/>
    <w:p>
      <w:pPr>
        <w:pStyle w:val="CaptionedFigure"/>
      </w:pPr>
      <w:r>
        <w:drawing>
          <wp:inline>
            <wp:extent cx="4267200" cy="2440117"/>
            <wp:effectExtent b="0" l="0" r="0" t="0"/>
            <wp:docPr descr="Рис. 22: www.donskaya.rudn.ru в “Web Browser”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www.donskaya.rudn.ru в</w:t>
      </w:r>
      <w:r>
        <w:t xml:space="preserve"> </w:t>
      </w:r>
      <w:r>
        <w:t xml:space="preserve">“Web Browser”</w:t>
      </w:r>
    </w:p>
    <w:bookmarkEnd w:id="110"/>
    <w:p>
      <w:pPr>
        <w:pStyle w:val="BodyText"/>
      </w:pPr>
      <w:r>
        <w:t xml:space="preserve">Теперь перейдем в режим симуляции и изучим каким образом происходит запрос адреса по</w:t>
      </w:r>
      <w:r>
        <w:t xml:space="preserve"> </w:t>
      </w:r>
      <w:r>
        <w:t xml:space="preserve">протоколу DHCP (рис. 23):</w:t>
      </w:r>
    </w:p>
    <w:bookmarkStart w:id="114" w:name="fig:023"/>
    <w:p>
      <w:pPr>
        <w:pStyle w:val="CaptionedFigure"/>
      </w:pPr>
      <w:r>
        <w:drawing>
          <wp:inline>
            <wp:extent cx="4267200" cy="2440117"/>
            <wp:effectExtent b="0" l="0" r="0" t="0"/>
            <wp:docPr descr="Рис. 23: Фильтрация типа пакета" title="" id="112" name="Picture"/>
            <a:graphic>
              <a:graphicData uri="http://schemas.openxmlformats.org/drawingml/2006/picture">
                <pic:pic>
                  <pic:nvPicPr>
                    <pic:cNvPr descr="image/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Фильтрация типа пакета</w:t>
      </w:r>
    </w:p>
    <w:bookmarkEnd w:id="114"/>
    <w:bookmarkStart w:id="118" w:name="fig:024"/>
    <w:p>
      <w:pPr>
        <w:pStyle w:val="CaptionedFigure"/>
      </w:pPr>
      <w:r>
        <w:drawing>
          <wp:inline>
            <wp:extent cx="4267200" cy="2440117"/>
            <wp:effectExtent b="0" l="0" r="0" t="0"/>
            <wp:docPr descr="Рис. 24: Перезапуск динамического распределения на dk-donskaya-omabakumova-1" title="" id="116" name="Picture"/>
            <a:graphic>
              <a:graphicData uri="http://schemas.openxmlformats.org/drawingml/2006/picture">
                <pic:pic>
                  <pic:nvPicPr>
                    <pic:cNvPr descr="image/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Перезапуск динамического распределения на dk-donskaya-omabakumova-1</w:t>
      </w:r>
    </w:p>
    <w:bookmarkEnd w:id="118"/>
    <w:bookmarkStart w:id="122" w:name="fig:025"/>
    <w:p>
      <w:pPr>
        <w:pStyle w:val="CaptionedFigure"/>
      </w:pPr>
      <w:r>
        <w:drawing>
          <wp:inline>
            <wp:extent cx="4267200" cy="1265510"/>
            <wp:effectExtent b="0" l="0" r="0" t="0"/>
            <wp:docPr descr="Рис. 25: Запуск симуляции" title="" id="120" name="Picture"/>
            <a:graphic>
              <a:graphicData uri="http://schemas.openxmlformats.org/drawingml/2006/picture">
                <pic:pic>
                  <pic:nvPicPr>
                    <pic:cNvPr descr="image/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6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Запуск симуляции</w:t>
      </w:r>
    </w:p>
    <w:bookmarkEnd w:id="122"/>
    <w:p>
      <w:pPr>
        <w:pStyle w:val="BodyText"/>
      </w:pPr>
      <w:r>
        <w:t xml:space="preserve">В качестве результата симуляции рассмотрим информацию о PDU.Оконечное устройство отправляет запрос на получение ip-</w:t>
      </w:r>
      <w:r>
        <w:t xml:space="preserve"> </w:t>
      </w:r>
      <w:r>
        <w:t xml:space="preserve">адреса по протоколу DHCP. Сначала DHCP-пакет рассылается всем устройствам</w:t>
      </w:r>
      <w:r>
        <w:t xml:space="preserve"> </w:t>
      </w:r>
      <w:r>
        <w:t xml:space="preserve">сети и принимается маршрутизатором. В заголовках DHCP при этом указан</w:t>
      </w:r>
      <w:r>
        <w:t xml:space="preserve"> </w:t>
      </w:r>
      <w:r>
        <w:t xml:space="preserve">только MAC-адрес устройства, которому нужен адрес, ip-адреса еще нет (рис. 26):</w:t>
      </w:r>
    </w:p>
    <w:bookmarkStart w:id="126" w:name="fig:026"/>
    <w:p>
      <w:pPr>
        <w:pStyle w:val="CaptionedFigure"/>
      </w:pPr>
      <w:r>
        <w:drawing>
          <wp:inline>
            <wp:extent cx="4267200" cy="3030408"/>
            <wp:effectExtent b="0" l="0" r="0" t="0"/>
            <wp:docPr descr="Рис. 26: Информация о PDU" title="" id="124" name="Picture"/>
            <a:graphic>
              <a:graphicData uri="http://schemas.openxmlformats.org/drawingml/2006/picture">
                <pic:pic>
                  <pic:nvPicPr>
                    <pic:cNvPr descr="image/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Информация о PDU</w:t>
      </w:r>
    </w:p>
    <w:bookmarkEnd w:id="126"/>
    <w:p>
      <w:pPr>
        <w:pStyle w:val="BodyText"/>
      </w:pPr>
      <w:r>
        <w:t xml:space="preserve">Маршрутизатор, получив запрос, выделяет IP-адрес для указанного MAC-адреса, основываясь на информации о занятых адресах в данной подсети.</w:t>
      </w:r>
      <w:r>
        <w:t xml:space="preserve"> </w:t>
      </w:r>
      <w:r>
        <w:t xml:space="preserve">Затем он отправляет ответ обратно устройству, указывая, какой именно IP-адрес был выделен.</w:t>
      </w:r>
      <w:r>
        <w:t xml:space="preserve"> </w:t>
      </w:r>
      <w:r>
        <w:t xml:space="preserve">В этом ответе также указываются адрес шлюза подсети и адрес самого устройства. После получения этого ответа устройство подтверждает маршрутизатору,</w:t>
      </w:r>
      <w:r>
        <w:t xml:space="preserve"> </w:t>
      </w:r>
      <w:r>
        <w:t xml:space="preserve">что приняло назначенный IP-адрес (рис. 27):</w:t>
      </w:r>
    </w:p>
    <w:bookmarkStart w:id="130" w:name="fig:027"/>
    <w:p>
      <w:pPr>
        <w:pStyle w:val="CaptionedFigure"/>
      </w:pPr>
      <w:r>
        <w:drawing>
          <wp:inline>
            <wp:extent cx="4267200" cy="3921210"/>
            <wp:effectExtent b="0" l="0" r="0" t="0"/>
            <wp:docPr descr="Рис. 27: Иноформация о PDU" title="" id="128" name="Picture"/>
            <a:graphic>
              <a:graphicData uri="http://schemas.openxmlformats.org/drawingml/2006/picture">
                <pic:pic>
                  <pic:nvPicPr>
                    <pic:cNvPr descr="image/2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1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Иноформация о PDU</w:t>
      </w:r>
    </w:p>
    <w:bookmarkEnd w:id="130"/>
    <w:bookmarkEnd w:id="131"/>
    <w:bookmarkStart w:id="13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За что отвечает протокол DHCP?</w:t>
      </w:r>
    </w:p>
    <w:p>
      <w:pPr>
        <w:pStyle w:val="FirstParagraph"/>
      </w:pPr>
      <w:r>
        <w:t xml:space="preserve">Протокол DHCP (Dynamic Host Configuration Protocol) отвечает за автоматическое назначение IP-адресов и других сетевых параметров устройствам в локальной сети, что упрощает процесс настройки сетевых подключений.</w:t>
      </w:r>
    </w:p>
    <w:p>
      <w:pPr>
        <w:pStyle w:val="Compact"/>
        <w:numPr>
          <w:ilvl w:val="0"/>
          <w:numId w:val="1004"/>
        </w:numPr>
      </w:pPr>
      <w:r>
        <w:t xml:space="preserve">Какие типы DHCP-сообщений передаются по сети?</w:t>
      </w:r>
    </w:p>
    <w:p>
      <w:pPr>
        <w:pStyle w:val="FirstParagraph"/>
      </w:pPr>
      <w:r>
        <w:t xml:space="preserve">В сети передаются несколько типов DHCP-сообщений, включая DHCPDISCOVER (запрос на получение IP-адреса), DHCPOFFER (предложение IP-адреса), DHCPREQUEST (запрос на подтверждение выбранного адреса) и DHCPACK (подтверждение назначения IP-адреса).</w:t>
      </w:r>
    </w:p>
    <w:p>
      <w:pPr>
        <w:pStyle w:val="Compact"/>
        <w:numPr>
          <w:ilvl w:val="0"/>
          <w:numId w:val="1005"/>
        </w:numPr>
      </w:pPr>
      <w:r>
        <w:t xml:space="preserve">Какие параметры могут быть переданы в сообщениях DHCP?</w:t>
      </w:r>
    </w:p>
    <w:p>
      <w:pPr>
        <w:pStyle w:val="FirstParagraph"/>
      </w:pPr>
      <w:r>
        <w:t xml:space="preserve">В сообщениях DHCP могут передаваться такие параметры, как IP-адрес, адреса шлюза, адреса DNS-серверов, маска подсети, время аренды IP-адреса и другие настройки, необходимые для корректной работы устройства в сети.</w:t>
      </w:r>
    </w:p>
    <w:p>
      <w:pPr>
        <w:pStyle w:val="Compact"/>
        <w:numPr>
          <w:ilvl w:val="0"/>
          <w:numId w:val="1006"/>
        </w:numPr>
      </w:pPr>
      <w:r>
        <w:t xml:space="preserve">Что такое DNS?</w:t>
      </w:r>
    </w:p>
    <w:p>
      <w:pPr>
        <w:pStyle w:val="FirstParagraph"/>
      </w:pPr>
      <w:r>
        <w:t xml:space="preserve">DNS (Domain Name System) — это система доменных имен, которая отвечает за преобразование доменных имен в IP-адреса, позволяя пользователям обращаться к ресурсам в интернете по удобным именам вместо числовых адресов.</w:t>
      </w:r>
    </w:p>
    <w:p>
      <w:pPr>
        <w:pStyle w:val="Compact"/>
        <w:numPr>
          <w:ilvl w:val="0"/>
          <w:numId w:val="1007"/>
        </w:numPr>
      </w:pPr>
      <w:r>
        <w:t xml:space="preserve">Какие типы записи описания ресурсов есть в DNS и для чего они используются?</w:t>
      </w:r>
    </w:p>
    <w:p>
      <w:pPr>
        <w:pStyle w:val="FirstParagraph"/>
      </w:pPr>
      <w:r>
        <w:t xml:space="preserve">В DNS существует несколько типов записей описания ресурсов, включая A-записи (для сопоставления доменного имени с IPv4-адресом), AAAA-записи (для IPv6-адресов), CNAME-записи (для создания алиасов для доменных имен), MX-записи (для указания почтовых серверов) и TXT-записи (для хранения текстовой информации, например, для проверки домена). Эти записи используются для управления и настройки работы доменных имен в сети.</w:t>
      </w:r>
    </w:p>
    <w:bookmarkEnd w:id="132"/>
    <w:bookmarkStart w:id="13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приобрела практические навыки по настройке динамического распределения IP-адресов посредством протокола DHCP (Dynamic Host Configuration</w:t>
      </w:r>
      <w:r>
        <w:t xml:space="preserve"> </w:t>
      </w:r>
      <w:r>
        <w:t xml:space="preserve">Protocol) в локальной сети.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8. Настройка сетевых сервисов DHCP</dc:title>
  <dc:creator>Абакумова Олеся Максимовна, НФИбд-02-22</dc:creator>
  <dc:language>ru-RU</dc:language>
  <cp:keywords/>
  <dcterms:created xsi:type="dcterms:W3CDTF">2025-04-05T16:56:10Z</dcterms:created>
  <dcterms:modified xsi:type="dcterms:W3CDTF">2025-04-05T16:56:10Z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