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8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12. Настройка NAT</w:t>
      </w:r>
    </w:p>
    <w:p>
      <w:pPr>
        <w:pStyle w:val="Author"/>
      </w:pPr>
      <w:r>
        <w:t xml:space="preserve">Абакумова Олеся Максимовна, НФИбд-02-22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доступа локальной сети к внешней сети посредством NAT.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Сделать первоначальную настройку маршрутизатора provider-gw-1 и коммутатора provider-sw-1 провайдера: задать имя, настроить доступ по</w:t>
      </w:r>
      <w:r>
        <w:t xml:space="preserve"> </w:t>
      </w:r>
      <w:r>
        <w:t xml:space="preserve">паролю и т.п.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интерфейсы маршрутизатора provider-gw-1 и коммутатора</w:t>
      </w:r>
      <w:r>
        <w:t xml:space="preserve"> </w:t>
      </w:r>
      <w:r>
        <w:t xml:space="preserve">provider-sw-1 провайдера.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интерфейсы маршрутизатора сети «Донская» для доступа к сети</w:t>
      </w:r>
      <w:r>
        <w:t xml:space="preserve"> </w:t>
      </w:r>
      <w:r>
        <w:t xml:space="preserve">провайдера.</w:t>
      </w:r>
    </w:p>
    <w:p>
      <w:pPr>
        <w:pStyle w:val="Compact"/>
        <w:numPr>
          <w:ilvl w:val="0"/>
          <w:numId w:val="1001"/>
        </w:numPr>
      </w:pPr>
      <w:r>
        <w:t xml:space="preserve">Настроить на маршрутизаторе сети «Донская» NAT с правилами.</w:t>
      </w:r>
    </w:p>
    <w:p>
      <w:pPr>
        <w:pStyle w:val="Compact"/>
        <w:numPr>
          <w:ilvl w:val="0"/>
          <w:numId w:val="1001"/>
        </w:numPr>
      </w:pPr>
      <w:r>
        <w:t xml:space="preserve">Настроить доступ из внешней сети в локальную сеть организации.</w:t>
      </w:r>
    </w:p>
    <w:p>
      <w:pPr>
        <w:pStyle w:val="Compact"/>
        <w:numPr>
          <w:ilvl w:val="0"/>
          <w:numId w:val="1001"/>
        </w:numPr>
      </w:pPr>
      <w:r>
        <w:t xml:space="preserve">Проверить работоспособность заданных настроек.</w:t>
      </w:r>
    </w:p>
    <w:p>
      <w:pPr>
        <w:pStyle w:val="Compact"/>
        <w:numPr>
          <w:ilvl w:val="0"/>
          <w:numId w:val="1001"/>
        </w:numPr>
      </w:pPr>
      <w:r>
        <w:t xml:space="preserve">При выполнении работы необходимо учитывать соглашение об именовании.</w:t>
      </w:r>
    </w:p>
    <w:bookmarkEnd w:id="21"/>
    <w:bookmarkStart w:id="11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 ходе выполнения лабораторной работы нам понадобятся таблица распредления внешних ip-адресов (табл. 1) и таблица VLAN (табл. 2).</w:t>
      </w:r>
    </w:p>
    <w:bookmarkStart w:id="22" w:name="tbl:ip"/>
    <w:p>
      <w:pPr>
        <w:pStyle w:val="TableCaption"/>
      </w:pPr>
      <w:r>
        <w:t xml:space="preserve">Таблица 1: Распределение внешних ip-адресов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Распределение внешних ip-адресов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IP-адреса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</w:pPr>
            <w:r>
              <w:t xml:space="preserve">VLAN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198.51.100.0/28</w:t>
            </w:r>
          </w:p>
        </w:tc>
        <w:tc>
          <w:tcPr/>
          <w:p>
            <w:pPr>
              <w:pStyle w:val="Compact"/>
            </w:pPr>
            <w:r>
              <w:t xml:space="preserve">Выделено провайдером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198.51.100.1</w:t>
            </w:r>
          </w:p>
        </w:tc>
        <w:tc>
          <w:tcPr/>
          <w:p>
            <w:pPr>
              <w:pStyle w:val="Compact"/>
            </w:pPr>
            <w:r>
              <w:t xml:space="preserve">Маршрутизатор провайдера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198.51.100.2</w:t>
            </w:r>
          </w:p>
        </w:tc>
        <w:tc>
          <w:tcPr/>
          <w:p>
            <w:pPr>
              <w:pStyle w:val="Compact"/>
            </w:pPr>
            <w:r>
              <w:t xml:space="preserve">msk-donskaya-gw-1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198.51.100.2–198.51.100.14</w:t>
            </w:r>
          </w:p>
        </w:tc>
        <w:tc>
          <w:tcPr/>
          <w:p>
            <w:pPr>
              <w:pStyle w:val="Compact"/>
            </w:pPr>
            <w:r>
              <w:t xml:space="preserve">Пул адресов для NAT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198.51.100.2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198.51.100.3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198.51.100.4</w:t>
            </w:r>
          </w:p>
        </w:tc>
        <w:tc>
          <w:tcPr/>
          <w:p>
            <w:pPr>
              <w:pStyle w:val="Compact"/>
            </w:pPr>
            <w:r>
              <w:t xml:space="preserve">Mail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tbl:vlan"/>
    <w:p>
      <w:pPr>
        <w:pStyle w:val="TableCaption"/>
      </w:pPr>
      <w:r>
        <w:t xml:space="preserve">Таблица 2: Таблица VLAN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Таблица VLAN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 VLAN</w:t>
            </w:r>
          </w:p>
        </w:tc>
        <w:tc>
          <w:tcPr/>
          <w:p>
            <w:pPr>
              <w:pStyle w:val="Compact"/>
            </w:pPr>
            <w:r>
              <w:t xml:space="preserve">Имя VLAN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Для управления устройствами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servers</w:t>
            </w:r>
          </w:p>
        </w:tc>
        <w:tc>
          <w:tcPr/>
          <w:p>
            <w:pPr>
              <w:pStyle w:val="Compact"/>
            </w:pPr>
            <w:r>
              <w:t xml:space="preserve">Для серверной фермы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nat</w:t>
            </w:r>
          </w:p>
        </w:tc>
        <w:tc>
          <w:tcPr/>
          <w:p>
            <w:pPr>
              <w:pStyle w:val="Compact"/>
            </w:pPr>
            <w:r>
              <w:t xml:space="preserve">Линк в Интернет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5-100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Зарезервировано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dk</w:t>
            </w:r>
          </w:p>
        </w:tc>
        <w:tc>
          <w:tcPr/>
          <w:p>
            <w:pPr>
              <w:pStyle w:val="Compact"/>
            </w:pPr>
            <w:r>
              <w:t xml:space="preserve">Дисплейные классы (ДК)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departments</w:t>
            </w:r>
          </w:p>
        </w:tc>
        <w:tc>
          <w:tcPr/>
          <w:p>
            <w:pPr>
              <w:pStyle w:val="Compact"/>
            </w:pPr>
            <w:r>
              <w:t xml:space="preserve">Кафедры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adm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t xml:space="preserve">Для других пользователей</w:t>
            </w:r>
          </w:p>
        </w:tc>
      </w:tr>
    </w:tbl>
    <w:bookmarkEnd w:id="23"/>
    <w:p>
      <w:pPr>
        <w:pStyle w:val="BodyText"/>
      </w:pPr>
      <w:r>
        <w:t xml:space="preserve">Для начала произведем первоначальную настройку маршрутизатора в области Provider (рис. 1):</w:t>
      </w:r>
    </w:p>
    <w:bookmarkStart w:id="27" w:name="fig:001"/>
    <w:p>
      <w:pPr>
        <w:pStyle w:val="CaptionedFigure"/>
      </w:pPr>
      <w:r>
        <w:drawing>
          <wp:inline>
            <wp:extent cx="4267200" cy="3931297"/>
            <wp:effectExtent b="0" l="0" r="0" t="0"/>
            <wp:docPr descr="Рис. 1: Первоначальная настройка маршрутизатора provider-omabakumova-gw-1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31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Первоначальная настройка маршрутизатора provider-omabakumova-gw-1</w:t>
      </w:r>
    </w:p>
    <w:bookmarkEnd w:id="27"/>
    <w:p>
      <w:pPr>
        <w:pStyle w:val="BodyText"/>
      </w:pPr>
      <w:r>
        <w:t xml:space="preserve">Также сразу же произведем первоначальную настройку интерфейсов маршрутизатора (рис. 2):</w:t>
      </w:r>
    </w:p>
    <w:bookmarkStart w:id="31" w:name="fig:002"/>
    <w:p>
      <w:pPr>
        <w:pStyle w:val="CaptionedFigure"/>
      </w:pPr>
      <w:r>
        <w:drawing>
          <wp:inline>
            <wp:extent cx="4267200" cy="3184477"/>
            <wp:effectExtent b="0" l="0" r="0" t="0"/>
            <wp:docPr descr="Рис. 2: Настройка интерфейсов маршрутизатора provider-omabakumova-gw-1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184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Настройка интерфейсов маршрутизатора provider-omabakumova-gw-1</w:t>
      </w:r>
    </w:p>
    <w:bookmarkEnd w:id="31"/>
    <w:p>
      <w:pPr>
        <w:pStyle w:val="BodyText"/>
      </w:pPr>
      <w:r>
        <w:t xml:space="preserve">Проверим доступность маршрутизатора с сервера www.rudn.ru.Пинг может не пройти сразу,это связано с работой Cisco Packet Tracer с учетом коммутатора в области Provider.Мне помогло несколько раз перезапустить рабочий файл с сетью с отсоединением и повторным присоединением коммутатора (рис. 3):</w:t>
      </w:r>
    </w:p>
    <w:bookmarkStart w:id="35" w:name="fig:003"/>
    <w:p>
      <w:pPr>
        <w:pStyle w:val="CaptionedFigure"/>
      </w:pPr>
      <w:r>
        <w:drawing>
          <wp:inline>
            <wp:extent cx="4267200" cy="3259755"/>
            <wp:effectExtent b="0" l="0" r="0" t="0"/>
            <wp:docPr descr="Рис. 3: Пингование provider-omabakumova-gw-1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59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Пингование provider-omabakumova-gw-1</w:t>
      </w:r>
    </w:p>
    <w:bookmarkEnd w:id="35"/>
    <w:p>
      <w:pPr>
        <w:pStyle w:val="BodyText"/>
      </w:pPr>
      <w:r>
        <w:t xml:space="preserve">Далее произведем первоначальную настройку коммутатора с учетом настройки его интерфейсов, сделав порты транковыми (рис. 4):</w:t>
      </w:r>
    </w:p>
    <w:bookmarkStart w:id="39" w:name="fig:004"/>
    <w:p>
      <w:pPr>
        <w:pStyle w:val="CaptionedFigure"/>
      </w:pPr>
      <w:r>
        <w:drawing>
          <wp:inline>
            <wp:extent cx="4267200" cy="2032641"/>
            <wp:effectExtent b="0" l="0" r="0" t="0"/>
            <wp:docPr descr="Рис. 4: Первоначальная настройка коммутатора provider-omabakumova-sw-1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32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Первоначальная настройка коммутатора provider-omabakumova-sw-1</w:t>
      </w:r>
    </w:p>
    <w:bookmarkEnd w:id="39"/>
    <w:bookmarkStart w:id="43" w:name="fig:005"/>
    <w:p>
      <w:pPr>
        <w:pStyle w:val="CaptionedFigure"/>
      </w:pPr>
      <w:r>
        <w:drawing>
          <wp:inline>
            <wp:extent cx="4267200" cy="3351859"/>
            <wp:effectExtent b="0" l="0" r="0" t="0"/>
            <wp:docPr descr="Рис. 5: Настройка интерфейсов коммутатора provider-omabakumova-sw-1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35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Настройка интерфейсов коммутатора provider-omabakumova-sw-1</w:t>
      </w:r>
    </w:p>
    <w:bookmarkEnd w:id="43"/>
    <w:p>
      <w:pPr>
        <w:pStyle w:val="BodyText"/>
      </w:pPr>
      <w:r>
        <w:t xml:space="preserve">Проверим корректность примененных изменений с помощью команды</w:t>
      </w:r>
      <w:r>
        <w:t xml:space="preserve"> </w:t>
      </w:r>
      <w:r>
        <w:rPr>
          <w:rStyle w:val="VerbatimChar"/>
        </w:rPr>
        <w:t xml:space="preserve">sh ru</w:t>
      </w:r>
      <w:r>
        <w:t xml:space="preserve"> </w:t>
      </w:r>
      <w:r>
        <w:t xml:space="preserve">(рис. 6):</w:t>
      </w:r>
    </w:p>
    <w:bookmarkStart w:id="47" w:name="fig:006"/>
    <w:p>
      <w:pPr>
        <w:pStyle w:val="CaptionedFigure"/>
      </w:pPr>
      <w:r>
        <w:drawing>
          <wp:inline>
            <wp:extent cx="4267200" cy="1129552"/>
            <wp:effectExtent b="0" l="0" r="0" t="0"/>
            <wp:docPr descr="Рис. 6: Проверка настройки интерфейсов коммутатора provider-omabakumova-sw-1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2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Проверка настройки интерфейсов коммутатора provider-omabakumova-sw-1</w:t>
      </w:r>
    </w:p>
    <w:bookmarkEnd w:id="47"/>
    <w:p>
      <w:pPr>
        <w:pStyle w:val="BodyText"/>
      </w:pPr>
      <w:r>
        <w:t xml:space="preserve">Проведем настройку интерфейсов уже на msk-donskaya-omabakumova-gw-1 (рис. 7):</w:t>
      </w:r>
    </w:p>
    <w:bookmarkStart w:id="51" w:name="fig:007"/>
    <w:p>
      <w:pPr>
        <w:pStyle w:val="CaptionedFigure"/>
      </w:pPr>
      <w:r>
        <w:drawing>
          <wp:inline>
            <wp:extent cx="4267200" cy="4643292"/>
            <wp:effectExtent b="0" l="0" r="0" t="0"/>
            <wp:docPr descr="Рис. 7: Настройка интерфейсов маршрутизатора msk-donskaya-omabakumova-gw-1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643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Настройка интерфейсов маршрутизатора msk-donskaya-omabakumova-gw-1</w:t>
      </w:r>
    </w:p>
    <w:bookmarkEnd w:id="51"/>
    <w:p>
      <w:pPr>
        <w:pStyle w:val="BodyText"/>
      </w:pPr>
      <w:r>
        <w:t xml:space="preserve">Также с помощью той же команды удостоверимся в корректности проведенной настройки (рис. 8):</w:t>
      </w:r>
    </w:p>
    <w:bookmarkStart w:id="55" w:name="fig:008"/>
    <w:p>
      <w:pPr>
        <w:pStyle w:val="CaptionedFigure"/>
      </w:pPr>
      <w:r>
        <w:drawing>
          <wp:inline>
            <wp:extent cx="4267200" cy="2396924"/>
            <wp:effectExtent b="0" l="0" r="0" t="0"/>
            <wp:docPr descr="Рис. 8: Проверка настройки интерфейсов на msk-donskaya-omabakumova-gw-1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96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 настройки интерфейсов на msk-donskaya-omabakumova-gw-1</w:t>
      </w:r>
    </w:p>
    <w:bookmarkEnd w:id="55"/>
    <w:p>
      <w:pPr>
        <w:pStyle w:val="BodyText"/>
      </w:pPr>
      <w:r>
        <w:t xml:space="preserve">Попробуем пропинговать с msk-donskaya-omabakumova-gw-1 маршрутизатор провайдера (рис. 9):</w:t>
      </w:r>
    </w:p>
    <w:bookmarkStart w:id="59" w:name="fig:009"/>
    <w:p>
      <w:pPr>
        <w:pStyle w:val="CaptionedFigure"/>
      </w:pPr>
      <w:r>
        <w:drawing>
          <wp:inline>
            <wp:extent cx="4267200" cy="2337006"/>
            <wp:effectExtent b="0" l="0" r="0" t="0"/>
            <wp:docPr descr="Рис. 9: Пингование маршрутизатора провайдера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337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Пингование маршрутизатора провайдера</w:t>
      </w:r>
    </w:p>
    <w:bookmarkEnd w:id="59"/>
    <w:p>
      <w:pPr>
        <w:pStyle w:val="BodyText"/>
      </w:pPr>
      <w:r>
        <w:t xml:space="preserve">Пинг проходит в первый раз с потерей в два пакета,при повторном пинговании без потерь.</w:t>
      </w:r>
    </w:p>
    <w:p>
      <w:pPr>
        <w:pStyle w:val="BodyText"/>
      </w:pPr>
      <w:r>
        <w:t xml:space="preserve">Настроим пула адресов для NAT с настройкой списка доступа. Также уточним с кем и кто может работать(настройки для конкретных сетей) (рис. 10):</w:t>
      </w:r>
    </w:p>
    <w:bookmarkStart w:id="63" w:name="fig:010"/>
    <w:p>
      <w:pPr>
        <w:pStyle w:val="CaptionedFigure"/>
      </w:pPr>
      <w:r>
        <w:drawing>
          <wp:inline>
            <wp:extent cx="4267200" cy="3085948"/>
            <wp:effectExtent b="0" l="0" r="0" t="0"/>
            <wp:docPr descr="Рис. 10: Настройка на маршрутизаторе сети «Донская» NAT с правилами" title="" id="61" name="Picture"/>
            <a:graphic>
              <a:graphicData uri="http://schemas.openxmlformats.org/drawingml/2006/picture">
                <pic:pic>
                  <pic:nvPicPr>
                    <pic:cNvPr descr="image/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859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на маршрутизаторе сети «Донская» NAT с правилами</w:t>
      </w:r>
    </w:p>
    <w:bookmarkEnd w:id="63"/>
    <w:p>
      <w:pPr>
        <w:pStyle w:val="BodyText"/>
      </w:pPr>
      <w:r>
        <w:t xml:space="preserve">Проверим наличие изменений (рис. 11):</w:t>
      </w:r>
    </w:p>
    <w:bookmarkStart w:id="67" w:name="fig:011"/>
    <w:p>
      <w:pPr>
        <w:pStyle w:val="CaptionedFigure"/>
      </w:pPr>
      <w:r>
        <w:drawing>
          <wp:inline>
            <wp:extent cx="4267200" cy="1244600"/>
            <wp:effectExtent b="0" l="0" r="0" t="0"/>
            <wp:docPr descr="Рис. 11: Проверка настройки на маршрутизаторе сети «Донская» NAT с правилами" title="" id="65" name="Picture"/>
            <a:graphic>
              <a:graphicData uri="http://schemas.openxmlformats.org/drawingml/2006/picture">
                <pic:pic>
                  <pic:nvPicPr>
                    <pic:cNvPr descr="image/1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24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Проверка настройки на маршрутизаторе сети «Донская» NAT с правилами</w:t>
      </w:r>
    </w:p>
    <w:bookmarkEnd w:id="67"/>
    <w:p>
      <w:pPr>
        <w:pStyle w:val="BodyText"/>
      </w:pPr>
      <w:r>
        <w:t xml:space="preserve">Также продолжим настройку NAT. Теперь настроим Port Address Translation (PAT) и сделаем настройку интерфейсов для NAT (рис. 12):</w:t>
      </w:r>
    </w:p>
    <w:bookmarkStart w:id="71" w:name="fig:012"/>
    <w:p>
      <w:pPr>
        <w:pStyle w:val="CaptionedFigure"/>
      </w:pPr>
      <w:r>
        <w:drawing>
          <wp:inline>
            <wp:extent cx="4267200" cy="2564265"/>
            <wp:effectExtent b="0" l="0" r="0" t="0"/>
            <wp:docPr descr="Рис. 12: Настройка NAT" title="" id="69" name="Picture"/>
            <a:graphic>
              <a:graphicData uri="http://schemas.openxmlformats.org/drawingml/2006/picture">
                <pic:pic>
                  <pic:nvPicPr>
                    <pic:cNvPr descr="image/1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6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NAT</w:t>
      </w:r>
    </w:p>
    <w:bookmarkEnd w:id="71"/>
    <w:p>
      <w:pPr>
        <w:pStyle w:val="BodyText"/>
      </w:pPr>
      <w:r>
        <w:t xml:space="preserve">Проверим работоспособность сети сделав пингвание на оконечном устройстве admin в области Донская (рис. 13):</w:t>
      </w:r>
    </w:p>
    <w:bookmarkStart w:id="75" w:name="fig:013"/>
    <w:p>
      <w:pPr>
        <w:pStyle w:val="CaptionedFigure"/>
      </w:pPr>
      <w:r>
        <w:drawing>
          <wp:inline>
            <wp:extent cx="4267200" cy="4365522"/>
            <wp:effectExtent b="0" l="0" r="0" t="0"/>
            <wp:docPr descr="Рис. 13: Пингование msk-donskaya-omabakumova-gw-1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365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Пингование msk-donskaya-omabakumova-gw-1</w:t>
      </w:r>
    </w:p>
    <w:bookmarkEnd w:id="75"/>
    <w:bookmarkStart w:id="79" w:name="fig:014"/>
    <w:p>
      <w:pPr>
        <w:pStyle w:val="CaptionedFigure"/>
      </w:pPr>
      <w:r>
        <w:drawing>
          <wp:inline>
            <wp:extent cx="4267200" cy="7967429"/>
            <wp:effectExtent b="0" l="0" r="0" t="0"/>
            <wp:docPr descr="Рис. 14: Пингование маршрутизатора провайдера и сервера www.yandex.ru" title="" id="77" name="Picture"/>
            <a:graphic>
              <a:graphicData uri="http://schemas.openxmlformats.org/drawingml/2006/picture">
                <pic:pic>
                  <pic:nvPicPr>
                    <pic:cNvPr descr="image/1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967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Пингование маршрутизатора провайдера и сервера www.yandex.ru</w:t>
      </w:r>
    </w:p>
    <w:bookmarkEnd w:id="79"/>
    <w:p>
      <w:pPr>
        <w:pStyle w:val="BodyText"/>
      </w:pPr>
      <w:r>
        <w:t xml:space="preserve">Как можно заметить для начала пустили пинг по статическому адресу www.yandex.ru,затем просто www.yandex.ru.Пинг успешно прошел.</w:t>
      </w:r>
      <w:r>
        <w:t xml:space="preserve"> </w:t>
      </w:r>
      <w:r>
        <w:t xml:space="preserve">С оконечного устройства dk-donskaya-omabakumova-1 запустим Web-Browser и посмотрим, что мы получим при запросе www.yandex.ru (рис. 15):</w:t>
      </w:r>
    </w:p>
    <w:bookmarkStart w:id="83" w:name="fig:015"/>
    <w:p>
      <w:pPr>
        <w:pStyle w:val="CaptionedFigure"/>
      </w:pPr>
      <w:r>
        <w:drawing>
          <wp:inline>
            <wp:extent cx="4267200" cy="4230147"/>
            <wp:effectExtent b="0" l="0" r="0" t="0"/>
            <wp:docPr descr="Рис. 15: Запрос в Web-Browser www.yandex.ru" title="" id="81" name="Picture"/>
            <a:graphic>
              <a:graphicData uri="http://schemas.openxmlformats.org/drawingml/2006/picture">
                <pic:pic>
                  <pic:nvPicPr>
                    <pic:cNvPr descr="image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30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Запрос в Web-Browser www.yandex.ru</w:t>
      </w:r>
    </w:p>
    <w:bookmarkEnd w:id="83"/>
    <w:p>
      <w:pPr>
        <w:pStyle w:val="BodyText"/>
      </w:pPr>
      <w:r>
        <w:t xml:space="preserve">Мы успешно открыли страницу www.yandex.ru.</w:t>
      </w:r>
      <w:r>
        <w:t xml:space="preserve"> </w:t>
      </w:r>
      <w:r>
        <w:t xml:space="preserve">Проведем настройку доступа из Интернета (рис. 16):</w:t>
      </w:r>
    </w:p>
    <w:bookmarkStart w:id="87" w:name="fig:016"/>
    <w:p>
      <w:pPr>
        <w:pStyle w:val="CaptionedFigure"/>
      </w:pPr>
      <w:r>
        <w:drawing>
          <wp:inline>
            <wp:extent cx="4267200" cy="1394932"/>
            <wp:effectExtent b="0" l="0" r="0" t="0"/>
            <wp:docPr descr="Рис. 16: Настройка доступа из Интернета" title="" id="85" name="Picture"/>
            <a:graphic>
              <a:graphicData uri="http://schemas.openxmlformats.org/drawingml/2006/picture">
                <pic:pic>
                  <pic:nvPicPr>
                    <pic:cNvPr descr="image/16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3949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Настройка доступа из Интернета</w:t>
      </w:r>
    </w:p>
    <w:bookmarkEnd w:id="87"/>
    <w:p>
      <w:pPr>
        <w:pStyle w:val="BodyText"/>
      </w:pPr>
      <w:r>
        <w:t xml:space="preserve">Дополнительно к заданиям лабораторной работы для проверки поной работоспосбности сети создадим в области Internet оконечное устройство laptop-ext (рис. 17):</w:t>
      </w:r>
    </w:p>
    <w:bookmarkStart w:id="91" w:name="fig:017"/>
    <w:p>
      <w:pPr>
        <w:pStyle w:val="CaptionedFigure"/>
      </w:pPr>
      <w:r>
        <w:drawing>
          <wp:inline>
            <wp:extent cx="4267200" cy="3027738"/>
            <wp:effectExtent b="0" l="0" r="0" t="0"/>
            <wp:docPr descr="Рис. 17: Задание шлюза на laptop-ext" title="" id="89" name="Picture"/>
            <a:graphic>
              <a:graphicData uri="http://schemas.openxmlformats.org/drawingml/2006/picture">
                <pic:pic>
                  <pic:nvPicPr>
                    <pic:cNvPr descr="image/17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2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шлюза на laptop-ext</w:t>
      </w:r>
    </w:p>
    <w:bookmarkEnd w:id="91"/>
    <w:bookmarkStart w:id="95" w:name="fig:018"/>
    <w:p>
      <w:pPr>
        <w:pStyle w:val="CaptionedFigure"/>
      </w:pPr>
      <w:r>
        <w:drawing>
          <wp:inline>
            <wp:extent cx="4267200" cy="3027738"/>
            <wp:effectExtent b="0" l="0" r="0" t="0"/>
            <wp:docPr descr="Рис. 18: Задание статического адреса и маски на laptop-ext" title="" id="93" name="Picture"/>
            <a:graphic>
              <a:graphicData uri="http://schemas.openxmlformats.org/drawingml/2006/picture">
                <pic:pic>
                  <pic:nvPicPr>
                    <pic:cNvPr descr="image/18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2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статического адреса и маски на laptop-ext</w:t>
      </w:r>
    </w:p>
    <w:bookmarkEnd w:id="95"/>
    <w:p>
      <w:pPr>
        <w:pStyle w:val="BodyText"/>
      </w:pPr>
      <w:r>
        <w:t xml:space="preserve">Так как по умолчанию оконечно устройство при создании оказывается в области Донская, нам необходимо его перенести в область Internet.Это можно сделать перейдя в физическую рабочую область (рис. 19):</w:t>
      </w:r>
    </w:p>
    <w:bookmarkStart w:id="99" w:name="fig:019"/>
    <w:p>
      <w:pPr>
        <w:pStyle w:val="CaptionedFigure"/>
      </w:pPr>
      <w:r>
        <w:drawing>
          <wp:inline>
            <wp:extent cx="4267200" cy="3027738"/>
            <wp:effectExtent b="0" l="0" r="0" t="0"/>
            <wp:docPr descr="Рис. 19: Перемещение laptop-ext" title="" id="97" name="Picture"/>
            <a:graphic>
              <a:graphicData uri="http://schemas.openxmlformats.org/drawingml/2006/picture">
                <pic:pic>
                  <pic:nvPicPr>
                    <pic:cNvPr descr="image/19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027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Перемещение laptop-ext</w:t>
      </w:r>
    </w:p>
    <w:bookmarkEnd w:id="99"/>
    <w:p>
      <w:pPr>
        <w:pStyle w:val="BodyText"/>
      </w:pPr>
      <w:r>
        <w:t xml:space="preserve">Теперь убедимся в работоспособности сети, проведя несколько тестов на новом оконечном устройстве (рис. 20):</w:t>
      </w:r>
    </w:p>
    <w:bookmarkStart w:id="103" w:name="fig:020"/>
    <w:p>
      <w:pPr>
        <w:pStyle w:val="CaptionedFigure"/>
      </w:pPr>
      <w:r>
        <w:drawing>
          <wp:inline>
            <wp:extent cx="4267200" cy="3457050"/>
            <wp:effectExtent b="0" l="0" r="0" t="0"/>
            <wp:docPr descr="Рис. 20: Пинг проходит успешно" title="" id="101" name="Picture"/>
            <a:graphic>
              <a:graphicData uri="http://schemas.openxmlformats.org/drawingml/2006/picture">
                <pic:pic>
                  <pic:nvPicPr>
                    <pic:cNvPr descr="image/20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5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Пинг проходит успешно</w:t>
      </w:r>
    </w:p>
    <w:bookmarkEnd w:id="103"/>
    <w:bookmarkStart w:id="107" w:name="fig:021"/>
    <w:p>
      <w:pPr>
        <w:pStyle w:val="CaptionedFigure"/>
      </w:pPr>
      <w:r>
        <w:drawing>
          <wp:inline>
            <wp:extent cx="4267200" cy="3457050"/>
            <wp:effectExtent b="0" l="0" r="0" t="0"/>
            <wp:docPr descr="Рис. 21: Страница в Web-Browser открылась успешно" title="" id="105" name="Picture"/>
            <a:graphic>
              <a:graphicData uri="http://schemas.openxmlformats.org/drawingml/2006/picture">
                <pic:pic>
                  <pic:nvPicPr>
                    <pic:cNvPr descr="image/21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45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Страница в Web-Browser открылась успешно</w:t>
      </w:r>
    </w:p>
    <w:bookmarkEnd w:id="107"/>
    <w:bookmarkStart w:id="111" w:name="fig:022"/>
    <w:p>
      <w:pPr>
        <w:pStyle w:val="CaptionedFigure"/>
      </w:pPr>
      <w:r>
        <w:drawing>
          <wp:inline>
            <wp:extent cx="4267200" cy="4223846"/>
            <wp:effectExtent b="0" l="0" r="0" t="0"/>
            <wp:docPr descr="Рис. 22: Подключение по FTP прошло успешно" title="" id="109" name="Picture"/>
            <a:graphic>
              <a:graphicData uri="http://schemas.openxmlformats.org/drawingml/2006/picture">
                <pic:pic>
                  <pic:nvPicPr>
                    <pic:cNvPr descr="image/22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23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Подключение по FTP прошло успешно</w:t>
      </w:r>
    </w:p>
    <w:bookmarkEnd w:id="111"/>
    <w:bookmarkEnd w:id="112"/>
    <w:bookmarkStart w:id="113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В чём состоит основной принцип работы NAT (что даёт наличие NAT в сети организации)?</w:t>
      </w:r>
      <w:r>
        <w:t xml:space="preserve"> </w:t>
      </w:r>
      <w:r>
        <w:t xml:space="preserve">Основной принцип работы NAT (Network Address Translation) заключается в преобразовании частных IP-адресов, используемых внутри локальной сети, в один или несколько публичных IP-адресов, которые используются для выхода в интернет. Это позволяет организациям экономить IP-адреса, так как несколько устройств могут использовать один публичный адрес, а также обеспечивает дополнительный уровень безопасности, скрывая внутреннюю структуру сети от внешних пользователей.</w:t>
      </w:r>
    </w:p>
    <w:p>
      <w:pPr>
        <w:numPr>
          <w:ilvl w:val="0"/>
          <w:numId w:val="1002"/>
        </w:numPr>
      </w:pPr>
      <w:r>
        <w:t xml:space="preserve">В чём состоит принцип настройки NAT (на каком оборудовании и что нужно настроить для из локальной сети во внешнюю сеть через NAT)?</w:t>
      </w:r>
      <w:r>
        <w:t xml:space="preserve"> </w:t>
      </w:r>
      <w:r>
        <w:t xml:space="preserve">Принцип настройки NAT обычно осуществляется на маршрутизаторах или брандмауэрах, которые поддерживают эту функцию. Для настройки NAT необходимо определить интерфейсы: внутренний (где находятся частные IP-адреса) и внешний (где находится публичный IP-адрес). Затем нужно настроить правила преобразования адресов, указывая, какие адреса должны быть преобразованы и каким образом.</w:t>
      </w:r>
    </w:p>
    <w:p>
      <w:pPr>
        <w:numPr>
          <w:ilvl w:val="0"/>
          <w:numId w:val="1002"/>
        </w:numPr>
      </w:pPr>
      <w:r>
        <w:t xml:space="preserve">Можно ли применить Cisco IOS NAT к субинтерфейсам? Да, Cisco IOS NAT может быть применён к субинтерфейсам.</w:t>
      </w:r>
      <w:r>
        <w:t xml:space="preserve"> </w:t>
      </w:r>
      <w:r>
        <w:t xml:space="preserve">Это позволяет реализовать NAT для различных виртуальных сетей, работающих на одном физическом интерфейсе маршрутизатора, что удобно для разделения трафика и управления различными сетевыми сегментами.</w:t>
      </w:r>
    </w:p>
    <w:p>
      <w:pPr>
        <w:numPr>
          <w:ilvl w:val="0"/>
          <w:numId w:val="1002"/>
        </w:numPr>
      </w:pPr>
      <w:r>
        <w:t xml:space="preserve">Что такое пулы IP NAT?</w:t>
      </w:r>
      <w:r>
        <w:t xml:space="preserve"> </w:t>
      </w:r>
      <w:r>
        <w:t xml:space="preserve">Пулы IP NAT представляют собой наборы публичных IP-адресов, которые могут быть использованы для динамического преобразования адресов устройств внутри локальной сети. Когда устройство запрашивает доступ к интернету, маршрутизатор выбирает доступный адрес из пула и использует его для преобразования частного адреса устройства, что позволяет нескольким устройствам делить ограниченное количество публичных IP-адресов.</w:t>
      </w:r>
    </w:p>
    <w:p>
      <w:pPr>
        <w:numPr>
          <w:ilvl w:val="0"/>
          <w:numId w:val="1002"/>
        </w:numPr>
      </w:pPr>
      <w:r>
        <w:t xml:space="preserve">Что такое статические преобразования NAT?</w:t>
      </w:r>
      <w:r>
        <w:t xml:space="preserve"> </w:t>
      </w:r>
      <w:r>
        <w:t xml:space="preserve">Статические преобразования NAT — это метод, при котором конкретный частный IP-адрес всегда сопоставляется с определённым публичным IP-адресом. Это позволяет обеспечить постоянный доступ к внутреннему ресурсу из внешней сети, так как статическое сопоставление гарантирует, что внешний адрес будет всегда вести к одному и тому же внутреннему адресу.</w:t>
      </w:r>
    </w:p>
    <w:bookmarkEnd w:id="113"/>
    <w:bookmarkStart w:id="11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данной лабораторной работы я приобрела практические навыки по настройке доступа локальной сети к внешней сети посредством NAT.</w:t>
      </w:r>
    </w:p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8" Target="media/rId28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12. Настройка NAT</dc:title>
  <dc:creator>Абакумова Олеся Максимовна, НФИбд-02-22</dc:creator>
  <dc:language>ru-RU</dc:language>
  <cp:keywords/>
  <dcterms:created xsi:type="dcterms:W3CDTF">2025-05-03T14:42:37Z</dcterms:created>
  <dcterms:modified xsi:type="dcterms:W3CDTF">2025-05-03T14:42:37Z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