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9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13. Статическая маршрутизация в Интернете. Планирование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организации взаимодействия</w:t>
      </w:r>
      <w:r>
        <w:t xml:space="preserve"> </w:t>
      </w:r>
      <w:r>
        <w:t xml:space="preserve">через сеть провайдера посредством статической маршрутизации локальной</w:t>
      </w:r>
      <w:r>
        <w:t xml:space="preserve"> </w:t>
      </w:r>
      <w:r>
        <w:t xml:space="preserve">сети с сетью основного здания, расположенного в 42-м квартале в Москве,</w:t>
      </w:r>
      <w:r>
        <w:t xml:space="preserve"> </w:t>
      </w:r>
      <w:r>
        <w:t xml:space="preserve">и сетью филиала, расположенного в г. Сочи.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Внести изменения в схемы L1, L2 и L3 сети, добавив в них информацию</w:t>
      </w:r>
      <w:r>
        <w:t xml:space="preserve"> </w:t>
      </w:r>
      <w:r>
        <w:t xml:space="preserve">о сети основной территории (42-й квартал в Москве) и сети филиала в г. Сочи.</w:t>
      </w:r>
    </w:p>
    <w:p>
      <w:pPr>
        <w:pStyle w:val="Compact"/>
        <w:numPr>
          <w:ilvl w:val="0"/>
          <w:numId w:val="1001"/>
        </w:numPr>
      </w:pPr>
      <w:r>
        <w:t xml:space="preserve">Дополнить схему проекта, добавив подсеть основной территории организации 42-го квартала в Москве и подсеть филиала в г. Сочи.</w:t>
      </w:r>
    </w:p>
    <w:p>
      <w:pPr>
        <w:pStyle w:val="Compact"/>
        <w:numPr>
          <w:ilvl w:val="0"/>
          <w:numId w:val="1001"/>
        </w:numPr>
      </w:pPr>
      <w:r>
        <w:t xml:space="preserve">Сделать первоначальную настройку добавленного в проект оборудования.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11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ходе выполнения лабораторной работы нам понадобятся таблица распредления внешних ip-адресов (табл. 2), таблица VLAN (табл. 1) и таблица IP для связующих разные территории линков (табл. 3) с обновленными данными.</w:t>
      </w:r>
    </w:p>
    <w:bookmarkStart w:id="22" w:name="tbl:vlan"/>
    <w:p>
      <w:pPr>
        <w:pStyle w:val="TableCaption"/>
      </w:pPr>
      <w:r>
        <w:t xml:space="preserve">Таблица 1: Таблица VLAN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Таблица VLAN"/>
      </w:tblPr>
      <w:tblGrid>
        <w:gridCol w:w="1304"/>
        <w:gridCol w:w="1677"/>
        <w:gridCol w:w="49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VLAN</w:t>
            </w:r>
          </w:p>
        </w:tc>
        <w:tc>
          <w:tcPr/>
          <w:p>
            <w:pPr>
              <w:pStyle w:val="Compact"/>
            </w:pPr>
            <w:r>
              <w:t xml:space="preserve">Имя VLAN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nat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q42</w:t>
            </w:r>
          </w:p>
        </w:tc>
        <w:tc>
          <w:tcPr/>
          <w:p>
            <w:pPr>
              <w:pStyle w:val="Compact"/>
            </w:pPr>
            <w:r>
              <w:t xml:space="preserve">Линк в сеть квартала 42 в Москве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sochi</w:t>
            </w:r>
          </w:p>
        </w:tc>
        <w:tc>
          <w:tcPr/>
          <w:p>
            <w:pPr>
              <w:pStyle w:val="Compact"/>
            </w:pPr>
            <w:r>
              <w:t xml:space="preserve">Линк в сеть филиала в Сочи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Для других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q42-main</w:t>
            </w:r>
          </w:p>
        </w:tc>
        <w:tc>
          <w:tcPr/>
          <w:p>
            <w:pPr>
              <w:pStyle w:val="Compact"/>
            </w:pPr>
            <w:r>
              <w:t xml:space="preserve">Основной для квартала 42 в Москве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q42-management</w:t>
            </w:r>
          </w:p>
        </w:tc>
        <w:tc>
          <w:tcPr/>
          <w:p>
            <w:pPr>
              <w:pStyle w:val="Compact"/>
            </w:pPr>
            <w:r>
              <w:t xml:space="preserve">Для управления устройствами 42-го квартала в Москве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hostel-main</w:t>
            </w:r>
          </w:p>
        </w:tc>
        <w:tc>
          <w:tcPr/>
          <w:p>
            <w:pPr>
              <w:pStyle w:val="Compact"/>
            </w:pPr>
            <w:r>
              <w:t xml:space="preserve">Основной для общежитий в квартале 42 в Москве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sochi-main</w:t>
            </w:r>
          </w:p>
        </w:tc>
        <w:tc>
          <w:tcPr/>
          <w:p>
            <w:pPr>
              <w:pStyle w:val="Compact"/>
            </w:pPr>
            <w:r>
              <w:t xml:space="preserve">Основной для филиала в Сочи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sochi-management</w:t>
            </w:r>
          </w:p>
        </w:tc>
        <w:tc>
          <w:tcPr/>
          <w:p>
            <w:pPr>
              <w:pStyle w:val="Compact"/>
            </w:pPr>
            <w:r>
              <w:t xml:space="preserve">Для управления устройствами в филиала в Сочи</w:t>
            </w:r>
          </w:p>
        </w:tc>
      </w:tr>
    </w:tbl>
    <w:bookmarkEnd w:id="22"/>
    <w:bookmarkStart w:id="23" w:name="tbl:ipsch"/>
    <w:p>
      <w:pPr>
        <w:pStyle w:val="TableCaption"/>
      </w:pPr>
      <w:r>
        <w:t xml:space="preserve">Таблица 2: Таблица IP для филиала в г. Сочи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: Таблица IP для филиала в г. Сочи"/>
      </w:tblPr>
      <w:tblGrid>
        <w:gridCol w:w="3324"/>
        <w:gridCol w:w="4008"/>
        <w:gridCol w:w="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10.130.0.0/16</w:t>
            </w:r>
          </w:p>
        </w:tc>
        <w:tc>
          <w:tcPr/>
          <w:p>
            <w:pPr>
              <w:pStyle w:val="Compact"/>
            </w:pPr>
            <w:r>
              <w:t xml:space="preserve">Вся сеть филиала в Сочи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10.130.0.0/24</w:t>
            </w:r>
          </w:p>
        </w:tc>
        <w:tc>
          <w:tcPr/>
          <w:p>
            <w:pPr>
              <w:pStyle w:val="Compact"/>
            </w:pPr>
            <w:r>
              <w:t xml:space="preserve">Основная сеть филиала в Сочи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10.130.0.1</w:t>
            </w:r>
          </w:p>
        </w:tc>
        <w:tc>
          <w:tcPr/>
          <w:p>
            <w:pPr>
              <w:pStyle w:val="Compact"/>
            </w:pPr>
            <w:r>
              <w:t xml:space="preserve">sch-sochi-gw-1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10.130.0.200</w:t>
            </w:r>
          </w:p>
        </w:tc>
        <w:tc>
          <w:tcPr/>
          <w:p>
            <w:pPr>
              <w:pStyle w:val="Compact"/>
            </w:pPr>
            <w:r>
              <w:t xml:space="preserve">pc-sochi-1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10.130.1.0/24</w:t>
            </w:r>
          </w:p>
        </w:tc>
        <w:tc>
          <w:tcPr/>
          <w:p>
            <w:pPr>
              <w:pStyle w:val="Compact"/>
            </w:pPr>
            <w:r>
              <w:t xml:space="preserve">Сеть для управления устройствами в Сочи</w:t>
            </w:r>
          </w:p>
        </w:tc>
        <w:tc>
          <w:tcPr/>
          <w:p>
            <w:pPr>
              <w:pStyle w:val="Compact"/>
            </w:pPr>
            <w:r>
              <w:t xml:space="preserve">402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10.130.1.1</w:t>
            </w:r>
          </w:p>
        </w:tc>
        <w:tc>
          <w:tcPr/>
          <w:p>
            <w:pPr>
              <w:pStyle w:val="Compact"/>
            </w:pPr>
            <w:r>
              <w:t xml:space="preserve">sch-sochi-gw-1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tbl:iplink"/>
    <w:p>
      <w:pPr>
        <w:pStyle w:val="TableCaption"/>
      </w:pPr>
      <w:r>
        <w:t xml:space="preserve">Таблица 3: Таблица IP для связующих разные территории линков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: Таблица IP для связующих разные территории линков"/>
      </w:tblPr>
      <w:tblGrid>
        <w:gridCol w:w="3394"/>
        <w:gridCol w:w="4126"/>
        <w:gridCol w:w="3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10.128.255.0/24</w:t>
            </w:r>
          </w:p>
        </w:tc>
        <w:tc>
          <w:tcPr/>
          <w:p>
            <w:pPr>
              <w:pStyle w:val="Compact"/>
            </w:pPr>
            <w:r>
              <w:t xml:space="preserve">Вся сеть для линков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10.128.255.0/30</w:t>
            </w:r>
          </w:p>
        </w:tc>
        <w:tc>
          <w:tcPr/>
          <w:p>
            <w:pPr>
              <w:pStyle w:val="Compact"/>
            </w:pPr>
            <w:r>
              <w:t xml:space="preserve">Линк на 42-й квартал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10.128.255.1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10.128.255.2</w:t>
            </w:r>
          </w:p>
        </w:tc>
        <w:tc>
          <w:tcPr/>
          <w:p>
            <w:pPr>
              <w:pStyle w:val="Compact"/>
            </w:pPr>
            <w:r>
              <w:t xml:space="preserve">msk-q42-gw-1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10.128.255.4/30</w:t>
            </w:r>
          </w:p>
        </w:tc>
        <w:tc>
          <w:tcPr/>
          <w:p>
            <w:pPr>
              <w:pStyle w:val="Compact"/>
            </w:pPr>
            <w:r>
              <w:t xml:space="preserve">Линк в Сочи 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10.128.255.5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10.128.255.6</w:t>
            </w:r>
          </w:p>
        </w:tc>
        <w:tc>
          <w:tcPr/>
          <w:p>
            <w:pPr>
              <w:pStyle w:val="Compact"/>
            </w:pPr>
            <w:r>
              <w:t xml:space="preserve">sch-sochi-gw-1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10.129.0.0/16</w:t>
            </w:r>
          </w:p>
        </w:tc>
        <w:tc>
          <w:tcPr/>
          <w:p>
            <w:pPr>
              <w:pStyle w:val="Compact"/>
            </w:pPr>
            <w:r>
              <w:t xml:space="preserve">Вся сеть квартала 42 в Москве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10.129.0.0/24</w:t>
            </w:r>
          </w:p>
        </w:tc>
        <w:tc>
          <w:tcPr/>
          <w:p>
            <w:pPr>
              <w:pStyle w:val="Compact"/>
            </w:pPr>
            <w:r>
              <w:t xml:space="preserve">Основная сеть квартала 42 в Москве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10.129.0.1</w:t>
            </w:r>
          </w:p>
        </w:tc>
        <w:tc>
          <w:tcPr/>
          <w:p>
            <w:pPr>
              <w:pStyle w:val="Compact"/>
            </w:pPr>
            <w:r>
              <w:t xml:space="preserve">msk-q42-gw-1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10.129.0.200</w:t>
            </w:r>
          </w:p>
        </w:tc>
        <w:tc>
          <w:tcPr/>
          <w:p>
            <w:pPr>
              <w:pStyle w:val="Compact"/>
            </w:pPr>
            <w:r>
              <w:t xml:space="preserve">pc-q42-1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10.129.1.0/24</w:t>
            </w:r>
          </w:p>
        </w:tc>
        <w:tc>
          <w:tcPr/>
          <w:p>
            <w:pPr>
              <w:pStyle w:val="Compact"/>
            </w:pPr>
            <w:r>
              <w:t xml:space="preserve">Сеть для управления устройствами в сети квартала 42 в Москве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10.129.1.1</w:t>
            </w:r>
          </w:p>
        </w:tc>
        <w:tc>
          <w:tcPr/>
          <w:p>
            <w:pPr>
              <w:pStyle w:val="Compact"/>
            </w:pPr>
            <w:r>
              <w:t xml:space="preserve">msk-q42-gw-1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10.129.1.2</w:t>
            </w:r>
          </w:p>
        </w:tc>
        <w:tc>
          <w:tcPr/>
          <w:p>
            <w:pPr>
              <w:pStyle w:val="Compact"/>
            </w:pPr>
            <w:r>
              <w:t xml:space="preserve">msk-hostel-gw-1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10.129.128.0/17</w:t>
            </w:r>
          </w:p>
        </w:tc>
        <w:tc>
          <w:tcPr/>
          <w:p>
            <w:pPr>
              <w:pStyle w:val="Compact"/>
            </w:pPr>
            <w:r>
              <w:t xml:space="preserve">Вся сеть hostel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10.129.128.0/24</w:t>
            </w:r>
          </w:p>
        </w:tc>
        <w:tc>
          <w:tcPr/>
          <w:p>
            <w:pPr>
              <w:pStyle w:val="Compact"/>
            </w:pPr>
            <w:r>
              <w:t xml:space="preserve">Основная сеть hostel</w:t>
            </w:r>
          </w:p>
        </w:tc>
        <w:tc>
          <w:tcPr/>
          <w:p>
            <w:pPr>
              <w:pStyle w:val="Compact"/>
            </w:pPr>
            <w:r>
              <w:t xml:space="preserve">301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10.129.128.1</w:t>
            </w:r>
          </w:p>
        </w:tc>
        <w:tc>
          <w:tcPr/>
          <w:p>
            <w:pPr>
              <w:pStyle w:val="Compact"/>
            </w:pPr>
            <w:r>
              <w:t xml:space="preserve">msk-hostel-gw-1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10.129.128.200</w:t>
            </w:r>
          </w:p>
        </w:tc>
        <w:tc>
          <w:tcPr/>
          <w:p>
            <w:pPr>
              <w:pStyle w:val="Compact"/>
            </w:pPr>
            <w:r>
              <w:t xml:space="preserve">pc-hostel-1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p>
      <w:pPr>
        <w:pStyle w:val="BodyText"/>
      </w:pPr>
      <w:r>
        <w:t xml:space="preserve">Для начала внесем изменения в схемы L1, L2 и L3 сети, добавив в них информацию</w:t>
      </w:r>
      <w:r>
        <w:t xml:space="preserve"> </w:t>
      </w:r>
      <w:r>
        <w:t xml:space="preserve">о сети основной территории (42-й квартал в Москве) и сети филиала в г. Сочи (рис. 1):</w:t>
      </w:r>
    </w:p>
    <w:bookmarkStart w:id="28" w:name="fig:001"/>
    <w:p>
      <w:pPr>
        <w:pStyle w:val="CaptionedFigure"/>
      </w:pPr>
      <w:r>
        <w:drawing>
          <wp:inline>
            <wp:extent cx="4267200" cy="2760452"/>
            <wp:effectExtent b="0" l="0" r="0" t="0"/>
            <wp:docPr descr="Рис. 1: L1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60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L1</w:t>
      </w:r>
    </w:p>
    <w:bookmarkEnd w:id="28"/>
    <w:bookmarkStart w:id="32" w:name="fig:002"/>
    <w:p>
      <w:pPr>
        <w:pStyle w:val="CaptionedFigure"/>
      </w:pPr>
      <w:r>
        <w:drawing>
          <wp:inline>
            <wp:extent cx="4267200" cy="2387216"/>
            <wp:effectExtent b="0" l="0" r="0" t="0"/>
            <wp:docPr descr="Рис. 2: L2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87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L2</w:t>
      </w:r>
    </w:p>
    <w:bookmarkEnd w:id="32"/>
    <w:bookmarkStart w:id="36" w:name="fig:003"/>
    <w:p>
      <w:pPr>
        <w:pStyle w:val="CaptionedFigure"/>
      </w:pPr>
      <w:r>
        <w:drawing>
          <wp:inline>
            <wp:extent cx="4267200" cy="3945613"/>
            <wp:effectExtent b="0" l="0" r="0" t="0"/>
            <wp:docPr descr="Рис. 3: L3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4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L3</w:t>
      </w:r>
    </w:p>
    <w:bookmarkEnd w:id="36"/>
    <w:p>
      <w:pPr>
        <w:pStyle w:val="BodyText"/>
      </w:pPr>
      <w:r>
        <w:t xml:space="preserve">Предварительно разместим коммутаторы,маршрутизаторы,репитеры и оконечные устройства (рис. 4):</w:t>
      </w:r>
    </w:p>
    <w:bookmarkStart w:id="40" w:name="fig:004"/>
    <w:p>
      <w:pPr>
        <w:pStyle w:val="CaptionedFigure"/>
      </w:pPr>
      <w:r>
        <w:drawing>
          <wp:inline>
            <wp:extent cx="4267200" cy="1689713"/>
            <wp:effectExtent b="0" l="0" r="0" t="0"/>
            <wp:docPr descr="Рис. 4: Первоначальное размещение устройств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89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Первоначальное размещение устройств</w:t>
      </w:r>
    </w:p>
    <w:bookmarkEnd w:id="40"/>
    <w:p>
      <w:pPr>
        <w:pStyle w:val="BodyText"/>
      </w:pPr>
      <w:r>
        <w:rPr>
          <w:b/>
          <w:bCs/>
        </w:rPr>
        <w:t xml:space="preserve">Здесь не хватает одного коммутатора согласно диаграммам,он будет добавлено и настроено ближе к концу</w:t>
      </w:r>
    </w:p>
    <w:p>
      <w:pPr>
        <w:pStyle w:val="BodyText"/>
      </w:pPr>
      <w:r>
        <w:t xml:space="preserve">На маршрутизаторе добавим дополнительный интерфейс (рис. 5):</w:t>
      </w:r>
    </w:p>
    <w:bookmarkStart w:id="44" w:name="fig:005"/>
    <w:p>
      <w:pPr>
        <w:pStyle w:val="CaptionedFigure"/>
      </w:pPr>
      <w:r>
        <w:drawing>
          <wp:inline>
            <wp:extent cx="4267200" cy="4236456"/>
            <wp:effectExtent b="0" l="0" r="0" t="0"/>
            <wp:docPr descr="Рис. 5: Добавление дополнительного интерфейса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36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дополнительного интерфейса</w:t>
      </w:r>
    </w:p>
    <w:bookmarkEnd w:id="44"/>
    <w:p>
      <w:pPr>
        <w:pStyle w:val="BodyText"/>
      </w:pPr>
      <w:r>
        <w:t xml:space="preserve">Также произведем замену модле на медиаконвертерах (рис. 6):</w:t>
      </w:r>
    </w:p>
    <w:bookmarkStart w:id="48" w:name="fig:006"/>
    <w:p>
      <w:pPr>
        <w:pStyle w:val="CaptionedFigure"/>
      </w:pPr>
      <w:r>
        <w:drawing>
          <wp:inline>
            <wp:extent cx="4267200" cy="4029795"/>
            <wp:effectExtent b="0" l="0" r="0" t="0"/>
            <wp:docPr descr="Рис. 6: Замена модуля на медиаконвертере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2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Замена модуля на медиаконвертере</w:t>
      </w:r>
    </w:p>
    <w:bookmarkEnd w:id="48"/>
    <w:bookmarkStart w:id="52" w:name="fig:007"/>
    <w:p>
      <w:pPr>
        <w:pStyle w:val="CaptionedFigure"/>
      </w:pPr>
      <w:r>
        <w:drawing>
          <wp:inline>
            <wp:extent cx="4267200" cy="4029795"/>
            <wp:effectExtent b="0" l="0" r="0" t="0"/>
            <wp:docPr descr="Рис. 7: Замена модуля на медиаконвертере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2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Замена модуля на медиаконвертере</w:t>
      </w:r>
    </w:p>
    <w:bookmarkEnd w:id="52"/>
    <w:bookmarkStart w:id="56" w:name="fig:008"/>
    <w:p>
      <w:pPr>
        <w:pStyle w:val="CaptionedFigure"/>
      </w:pPr>
      <w:r>
        <w:drawing>
          <wp:inline>
            <wp:extent cx="4267200" cy="4029795"/>
            <wp:effectExtent b="0" l="0" r="0" t="0"/>
            <wp:docPr descr="Рис. 8: Замена модуля на медиаконвертере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2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Замена модуля на медиаконвертере</w:t>
      </w:r>
    </w:p>
    <w:bookmarkEnd w:id="56"/>
    <w:bookmarkStart w:id="60" w:name="fig:009"/>
    <w:p>
      <w:pPr>
        <w:pStyle w:val="CaptionedFigure"/>
      </w:pPr>
      <w:r>
        <w:drawing>
          <wp:inline>
            <wp:extent cx="4267200" cy="4029795"/>
            <wp:effectExtent b="0" l="0" r="0" t="0"/>
            <wp:docPr descr="Рис. 9: Замена модуля на медиаконвертере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2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Замена модуля на медиаконвертере</w:t>
      </w:r>
    </w:p>
    <w:bookmarkEnd w:id="60"/>
    <w:p>
      <w:pPr>
        <w:pStyle w:val="BodyText"/>
      </w:pPr>
      <w:r>
        <w:t xml:space="preserve">Добавим необходимые соединения в соответствии со схемами (рис. 10):</w:t>
      </w:r>
    </w:p>
    <w:bookmarkStart w:id="64" w:name="fig:010"/>
    <w:p>
      <w:pPr>
        <w:pStyle w:val="CaptionedFigure"/>
      </w:pPr>
      <w:r>
        <w:drawing>
          <wp:inline>
            <wp:extent cx="4267200" cy="1591485"/>
            <wp:effectExtent b="0" l="0" r="0" t="0"/>
            <wp:docPr descr="Рис. 10: Добавлены соединения между устройствами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91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Добавлены соединения между устройствами</w:t>
      </w:r>
    </w:p>
    <w:bookmarkEnd w:id="64"/>
    <w:p>
      <w:pPr>
        <w:pStyle w:val="BodyText"/>
      </w:pPr>
      <w:r>
        <w:t xml:space="preserve">Далее необходимо перейти в физическую рабочую область.Добавим г.Сочи и также в г.Москве добавим 42 квартал.В г.Сочи добавим здание</w:t>
      </w:r>
      <w:r>
        <w:t xml:space="preserve"> </w:t>
      </w:r>
      <w:r>
        <w:t xml:space="preserve">“Sochi”</w:t>
      </w:r>
      <w:r>
        <w:t xml:space="preserve"> </w:t>
      </w:r>
      <w:r>
        <w:t xml:space="preserve">(рис. 11):</w:t>
      </w:r>
    </w:p>
    <w:bookmarkStart w:id="68" w:name="fig:011"/>
    <w:p>
      <w:pPr>
        <w:pStyle w:val="CaptionedFigure"/>
      </w:pPr>
      <w:r>
        <w:drawing>
          <wp:inline>
            <wp:extent cx="4267200" cy="2072550"/>
            <wp:effectExtent b="0" l="0" r="0" t="0"/>
            <wp:docPr descr="Рис. 11: Добавление города Сочи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2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города Сочи</w:t>
      </w:r>
    </w:p>
    <w:bookmarkEnd w:id="68"/>
    <w:bookmarkStart w:id="72" w:name="fig:012"/>
    <w:p>
      <w:pPr>
        <w:pStyle w:val="CaptionedFigure"/>
      </w:pPr>
      <w:r>
        <w:drawing>
          <wp:inline>
            <wp:extent cx="4267200" cy="2072550"/>
            <wp:effectExtent b="0" l="0" r="0" t="0"/>
            <wp:docPr descr="Рис. 12: Добавление в Москве 42 квартала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2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Добавление в Москве 42 квартала</w:t>
      </w:r>
    </w:p>
    <w:bookmarkEnd w:id="72"/>
    <w:bookmarkStart w:id="76" w:name="fig:013"/>
    <w:p>
      <w:pPr>
        <w:pStyle w:val="CaptionedFigure"/>
      </w:pPr>
      <w:r>
        <w:drawing>
          <wp:inline>
            <wp:extent cx="4267200" cy="3114691"/>
            <wp:effectExtent b="0" l="0" r="0" t="0"/>
            <wp:docPr descr="Рис. 13: Добавление в городе Сочи здания “Sochi”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14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Добавление в городе Сочи здания</w:t>
      </w:r>
      <w:r>
        <w:t xml:space="preserve"> </w:t>
      </w:r>
      <w:r>
        <w:t xml:space="preserve">“Sochi”</w:t>
      </w:r>
    </w:p>
    <w:bookmarkEnd w:id="76"/>
    <w:p>
      <w:pPr>
        <w:pStyle w:val="BodyText"/>
      </w:pPr>
      <w:r>
        <w:t xml:space="preserve">Теперь так, как все добавленные устройства по умолчанию разместились в области Донской, их необходимо разместить по местам (рис. 14):</w:t>
      </w:r>
    </w:p>
    <w:bookmarkStart w:id="80" w:name="fig:014"/>
    <w:p>
      <w:pPr>
        <w:pStyle w:val="CaptionedFigure"/>
      </w:pPr>
      <w:r>
        <w:drawing>
          <wp:inline>
            <wp:extent cx="4267200" cy="1986055"/>
            <wp:effectExtent b="0" l="0" r="0" t="0"/>
            <wp:docPr descr="Рис. 14: Перемещение оборудования в серверной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86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Перемещение оборудования в серверной</w:t>
      </w:r>
    </w:p>
    <w:bookmarkEnd w:id="80"/>
    <w:bookmarkStart w:id="84" w:name="fig:015"/>
    <w:p>
      <w:pPr>
        <w:pStyle w:val="CaptionedFigure"/>
      </w:pPr>
      <w:r>
        <w:drawing>
          <wp:inline>
            <wp:extent cx="4267200" cy="1986055"/>
            <wp:effectExtent b="0" l="0" r="0" t="0"/>
            <wp:docPr descr="Рис. 15: Перемещение оконечных устройств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86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Перемещение оконечных устройств</w:t>
      </w:r>
    </w:p>
    <w:bookmarkEnd w:id="84"/>
    <w:p>
      <w:pPr>
        <w:pStyle w:val="BodyText"/>
      </w:pPr>
      <w:r>
        <w:t xml:space="preserve">Все устройства перемещаются аналогичным способом по своим местам.</w:t>
      </w:r>
      <w:r>
        <w:t xml:space="preserve"> </w:t>
      </w:r>
      <w:r>
        <w:t xml:space="preserve">Чтобы удостовериться в том, что устройства на своих местах достаточно просто на них навести и мы увидим их местоположение (рис. 16):</w:t>
      </w:r>
    </w:p>
    <w:bookmarkStart w:id="88" w:name="fig:016"/>
    <w:p>
      <w:pPr>
        <w:pStyle w:val="CaptionedFigure"/>
      </w:pPr>
      <w:r>
        <w:drawing>
          <wp:inline>
            <wp:extent cx="4267200" cy="1986055"/>
            <wp:effectExtent b="0" l="0" r="0" t="0"/>
            <wp:docPr descr="Рис. 16: Местоположение sch-sochi-omabakumova-qw-1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86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Местоположение sch-sochi-omabakumova-qw-1</w:t>
      </w:r>
    </w:p>
    <w:bookmarkEnd w:id="88"/>
    <w:p>
      <w:pPr>
        <w:pStyle w:val="BodyText"/>
      </w:pPr>
      <w:r>
        <w:t xml:space="preserve">Теперь проведем первоначальную настройку коммутаторов и маршрутизаторов (рис. 17):</w:t>
      </w:r>
    </w:p>
    <w:bookmarkStart w:id="92" w:name="fig:017"/>
    <w:p>
      <w:pPr>
        <w:pStyle w:val="CaptionedFigure"/>
      </w:pPr>
      <w:r>
        <w:drawing>
          <wp:inline>
            <wp:extent cx="4267200" cy="4021320"/>
            <wp:effectExtent b="0" l="0" r="0" t="0"/>
            <wp:docPr descr="Рис. 17: Первоначальная настройка маршрутизатора msk-q42-omabakumova-gw-1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2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Первоначальная настройка маршрутизатора msk-q42-omabakumova-gw-1</w:t>
      </w:r>
    </w:p>
    <w:bookmarkEnd w:id="92"/>
    <w:bookmarkStart w:id="96" w:name="fig:018"/>
    <w:p>
      <w:pPr>
        <w:pStyle w:val="CaptionedFigure"/>
      </w:pPr>
      <w:r>
        <w:drawing>
          <wp:inline>
            <wp:extent cx="4267200" cy="4035893"/>
            <wp:effectExtent b="0" l="0" r="0" t="0"/>
            <wp:docPr descr="Рис. 18: Первоначальная настройка коммутатора msk-q42-omabakumova-sw-1" title="" id="94" name="Picture"/>
            <a:graphic>
              <a:graphicData uri="http://schemas.openxmlformats.org/drawingml/2006/picture">
                <pic:pic>
                  <pic:nvPicPr>
                    <pic:cNvPr descr="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35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Первоначальная настройка коммутатора msk-q42-omabakumova-sw-1</w:t>
      </w:r>
    </w:p>
    <w:bookmarkEnd w:id="96"/>
    <w:bookmarkStart w:id="100" w:name="fig:019"/>
    <w:p>
      <w:pPr>
        <w:pStyle w:val="CaptionedFigure"/>
      </w:pPr>
      <w:r>
        <w:drawing>
          <wp:inline>
            <wp:extent cx="4267200" cy="4171307"/>
            <wp:effectExtent b="0" l="0" r="0" t="0"/>
            <wp:docPr descr="Рис. 19: Первоначальная настройка маршрутизирующего коммутатора msk-hostel-omabaumova-gw-1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71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Первоначальная настройка маршрутизирующего коммутатора msk-hostel-omabaumova-gw-1</w:t>
      </w:r>
    </w:p>
    <w:bookmarkEnd w:id="100"/>
    <w:bookmarkStart w:id="104" w:name="fig:020"/>
    <w:p>
      <w:pPr>
        <w:pStyle w:val="CaptionedFigure"/>
      </w:pPr>
      <w:r>
        <w:drawing>
          <wp:inline>
            <wp:extent cx="4267200" cy="3449934"/>
            <wp:effectExtent b="0" l="0" r="0" t="0"/>
            <wp:docPr descr="Рис. 20: Первоначальная настройка коммутатора msk-hostel-omabakumova-sw-1" title="" id="102" name="Picture"/>
            <a:graphic>
              <a:graphicData uri="http://schemas.openxmlformats.org/drawingml/2006/picture">
                <pic:pic>
                  <pic:nvPicPr>
                    <pic:cNvPr descr="image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49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Первоначальная настройка коммутатора msk-hostel-omabakumova-sw-1</w:t>
      </w:r>
    </w:p>
    <w:bookmarkEnd w:id="104"/>
    <w:bookmarkStart w:id="108" w:name="fig:021"/>
    <w:p>
      <w:pPr>
        <w:pStyle w:val="CaptionedFigure"/>
      </w:pPr>
      <w:r>
        <w:drawing>
          <wp:inline>
            <wp:extent cx="4267200" cy="692742"/>
            <wp:effectExtent b="0" l="0" r="0" t="0"/>
            <wp:docPr descr="Рис. 21: Самая правильная итоговая схема с правильными именованиями" title="" id="106" name="Picture"/>
            <a:graphic>
              <a:graphicData uri="http://schemas.openxmlformats.org/drawingml/2006/picture">
                <pic:pic>
                  <pic:nvPicPr>
                    <pic:cNvPr descr="image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92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</w:t>
      </w:r>
      <w:r>
        <w:t xml:space="preserve"> </w:t>
      </w:r>
      <w:r>
        <w:rPr>
          <w:b/>
          <w:bCs/>
        </w:rPr>
        <w:t xml:space="preserve">Самая правильная итоговая схема с правильными именованиями</w:t>
      </w:r>
    </w:p>
    <w:bookmarkEnd w:id="108"/>
    <w:bookmarkStart w:id="112" w:name="fig:022"/>
    <w:p>
      <w:pPr>
        <w:pStyle w:val="CaptionedFigure"/>
      </w:pPr>
      <w:r>
        <w:drawing>
          <wp:inline>
            <wp:extent cx="4267200" cy="4093870"/>
            <wp:effectExtent b="0" l="0" r="0" t="0"/>
            <wp:docPr descr="Рис. 22: Первоначальная настройка коммутатора sch-sochi-omabakumova-sw-1" title="" id="110" name="Picture"/>
            <a:graphic>
              <a:graphicData uri="http://schemas.openxmlformats.org/drawingml/2006/picture">
                <pic:pic>
                  <pic:nvPicPr>
                    <pic:cNvPr descr="image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9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Первоначальная настройка коммутатора sch-sochi-omabakumova-sw-1</w:t>
      </w:r>
    </w:p>
    <w:bookmarkEnd w:id="112"/>
    <w:bookmarkStart w:id="116" w:name="fig:023"/>
    <w:p>
      <w:pPr>
        <w:pStyle w:val="CaptionedFigure"/>
      </w:pPr>
      <w:r>
        <w:drawing>
          <wp:inline>
            <wp:extent cx="2667000" cy="2558669"/>
            <wp:effectExtent b="0" l="0" r="0" t="0"/>
            <wp:docPr descr="Рис. 23: Первоначальная настройка маршрутизатора sch-sochi-omabakumova-gw-1" title="" id="114" name="Picture"/>
            <a:graphic>
              <a:graphicData uri="http://schemas.openxmlformats.org/drawingml/2006/picture">
                <pic:pic>
                  <pic:nvPicPr>
                    <pic:cNvPr descr="image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58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Первоначальная настройка маршрутизатора sch-sochi-omabakumova-gw-1</w:t>
      </w:r>
    </w:p>
    <w:bookmarkEnd w:id="116"/>
    <w:p>
      <w:pPr>
        <w:pStyle w:val="BodyText"/>
      </w:pPr>
      <w:r>
        <w:t xml:space="preserve">P.S. Из-за собственной невнимательности настройку пришлось проводить несколько раз :D</w:t>
      </w:r>
    </w:p>
    <w:bookmarkEnd w:id="117"/>
    <w:bookmarkStart w:id="11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В каких случаях следует использовать статическую маршрутизацию? Приведите примеры.</w:t>
      </w:r>
    </w:p>
    <w:p>
      <w:pPr>
        <w:pStyle w:val="FirstParagraph"/>
      </w:pPr>
      <w:r>
        <w:t xml:space="preserve">Статическую маршрутизацию следует использовать в следующих случаях: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 небольших сетях</w:t>
      </w:r>
      <w:r>
        <w:t xml:space="preserve"> </w:t>
      </w:r>
      <w:r>
        <w:t xml:space="preserve">с ограниченным количеством маршрутов, где ручная настройка не вызывает сложностей.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Для подключения к провайдеру</w:t>
      </w:r>
      <w:r>
        <w:t xml:space="preserve">, когда известен единственный маршрут к шлюзу.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 сетях с фиксированной топологией</w:t>
      </w:r>
      <w:r>
        <w:t xml:space="preserve">, где изменения происходят редко.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Для маршрутов по умолчанию (default route)</w:t>
      </w:r>
      <w:r>
        <w:t xml:space="preserve">, например, когда весь трафик должен идти через один шлюз.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 DMZ или корпоративных сетях</w:t>
      </w:r>
      <w:r>
        <w:t xml:space="preserve">, где требуется жесткий контроль над передачей трафика.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Для резервных каналов связи</w:t>
      </w:r>
      <w:r>
        <w:t xml:space="preserve">, если динамическая маршрутизация нежелательна из-за сложности или избыточности.</w:t>
      </w:r>
    </w:p>
    <w:p>
      <w:pPr>
        <w:pStyle w:val="FirstParagraph"/>
      </w:pPr>
      <w:r>
        <w:rPr>
          <w:b/>
          <w:bCs/>
        </w:rPr>
        <w:t xml:space="preserve">Примеры:</w:t>
      </w:r>
    </w:p>
    <w:p>
      <w:pPr>
        <w:numPr>
          <w:ilvl w:val="0"/>
          <w:numId w:val="1004"/>
        </w:numPr>
      </w:pPr>
      <w:r>
        <w:t xml:space="preserve">Малое предприятие с одним маршрутизатором и двумя сетями: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ip route 192.168.2.0 255.255.255.0 192.168.1.1  </w:t>
      </w:r>
    </w:p>
    <w:p>
      <w:pPr>
        <w:numPr>
          <w:ilvl w:val="0"/>
          <w:numId w:val="1000"/>
        </w:numPr>
      </w:pPr>
      <w:r>
        <w:t xml:space="preserve">(Все пакеты в сеть</w:t>
      </w:r>
      <w:r>
        <w:t xml:space="preserve"> </w:t>
      </w:r>
      <w:r>
        <w:rPr>
          <w:rStyle w:val="VerbatimChar"/>
        </w:rPr>
        <w:t xml:space="preserve">192.168.2.0/24</w:t>
      </w:r>
      <w:r>
        <w:t xml:space="preserve"> </w:t>
      </w:r>
      <w:r>
        <w:t xml:space="preserve">направляются через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.)</w:t>
      </w:r>
    </w:p>
    <w:p>
      <w:pPr>
        <w:numPr>
          <w:ilvl w:val="0"/>
          <w:numId w:val="1004"/>
        </w:numPr>
      </w:pPr>
      <w:r>
        <w:t xml:space="preserve">Домашний роутер с маршрутом по умолчанию к провайдеру: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ip route 0.0.0.0 0.0.0.0 100.64.1.1  </w:t>
      </w:r>
    </w:p>
    <w:p>
      <w:pPr>
        <w:pStyle w:val="Compact"/>
        <w:numPr>
          <w:ilvl w:val="0"/>
          <w:numId w:val="1005"/>
        </w:numPr>
      </w:pPr>
      <w:r>
        <w:t xml:space="preserve">Укажите основные принципы статической маршрутизации между VLANs.</w:t>
      </w:r>
    </w:p>
    <w:p>
      <w:pPr>
        <w:pStyle w:val="FirstParagraph"/>
      </w:pPr>
      <w:r>
        <w:t xml:space="preserve">При настройке статической маршрутизации между VLAN используются следующие принципы: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Наличие маршрутизатора или L3-коммутатора</w:t>
      </w:r>
      <w:r>
        <w:t xml:space="preserve"> </w:t>
      </w:r>
      <w:r>
        <w:t xml:space="preserve">— для передачи трафика между VLAN требуется устройство, поддерживающее маршрутизацию (Router-on-a-Stick или меж-VLAN маршрутизацию).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Создание интерфейсов VLAN (SVI)</w:t>
      </w:r>
      <w:r>
        <w:t xml:space="preserve"> </w:t>
      </w:r>
      <w:r>
        <w:t xml:space="preserve">— на L3-коммутаторе или маршрутизаторе должны быть настроены виртуальные интерфейсы для каждого VLAN с уникальными IP-адресами.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Назначение IP-адресов шлюза</w:t>
      </w:r>
      <w:r>
        <w:t xml:space="preserve"> </w:t>
      </w:r>
      <w:r>
        <w:t xml:space="preserve">— каждый VLAN должен иметь свой шлюз по умолчанию (обычно это IP SVI-интерфейса).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Прописывание статических маршрутов</w:t>
      </w:r>
      <w:r>
        <w:t xml:space="preserve"> </w:t>
      </w:r>
      <w:r>
        <w:t xml:space="preserve">— если трафик должен идти через другой маршрутизатор, добавляются соответствующие записи.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Настройка trunk-портов</w:t>
      </w:r>
      <w:r>
        <w:t xml:space="preserve"> </w:t>
      </w:r>
      <w:r>
        <w:t xml:space="preserve">— между коммутатором и маршрутизатором (или L3-коммутатором) должен быть настроен trunk для передачи тегированных фреймов.</w:t>
      </w:r>
    </w:p>
    <w:bookmarkEnd w:id="118"/>
    <w:bookmarkStart w:id="11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я провела подготовительные мероприятия по организации взаимодействия</w:t>
      </w:r>
      <w:r>
        <w:t xml:space="preserve"> </w:t>
      </w:r>
      <w:r>
        <w:t xml:space="preserve">через сеть провайдера посредством статической маршрутизации локальной</w:t>
      </w:r>
      <w:r>
        <w:t xml:space="preserve"> </w:t>
      </w:r>
      <w:r>
        <w:t xml:space="preserve">сети с сетью основного здания, расположенного в 42-м квартале в Москве,</w:t>
      </w:r>
      <w:r>
        <w:t xml:space="preserve"> </w:t>
      </w:r>
      <w:r>
        <w:t xml:space="preserve">и сетью филиала, расположенного в г. Сочи.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9" Target="media/rId29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13. Статическая маршрутизация в Интернете. Планирование</dc:title>
  <dc:creator>Абакумова Олеся Максимовна, НФИбд-02-22</dc:creator>
  <dc:language>ru-RU</dc:language>
  <cp:keywords/>
  <dcterms:created xsi:type="dcterms:W3CDTF">2025-05-10T17:31:22Z</dcterms:created>
  <dcterms:modified xsi:type="dcterms:W3CDTF">2025-05-10T17:31:22Z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