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6. Статическая маршрутизация VLAN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в локальную сеть маршрутизатор, провести его первоначальную</w:t>
      </w:r>
      <w:r>
        <w:t xml:space="preserve"> </w:t>
      </w:r>
      <w:r>
        <w:t xml:space="preserve">настройку.</w:t>
      </w:r>
    </w:p>
    <w:p>
      <w:pPr>
        <w:pStyle w:val="Compact"/>
        <w:numPr>
          <w:ilvl w:val="0"/>
          <w:numId w:val="1001"/>
        </w:numPr>
      </w:pPr>
      <w:r>
        <w:t xml:space="preserve">Настроить статическую маршрутизацию VLAN.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логической области проекта разместить маршрутизатор Cisco 2811, подключить его к порту 24 коммутатора msk-donskaya-sw-1 в соответствии с таблицей портов (табл. 1)(рис. 1):</w:t>
      </w:r>
    </w:p>
    <w:bookmarkStart w:id="22" w:name="tbl:fiz"/>
    <w:p>
      <w:pPr>
        <w:pStyle w:val="TableCaption"/>
      </w:pPr>
      <w:r>
        <w:t xml:space="preserve">Таблица 1: Таблица портов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Таблица портов"/>
      </w:tblPr>
      <w:tblGrid>
        <w:gridCol w:w="2493"/>
        <w:gridCol w:w="953"/>
        <w:gridCol w:w="1613"/>
        <w:gridCol w:w="953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Порт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Access VLAN</w:t>
            </w:r>
          </w:p>
        </w:tc>
        <w:tc>
          <w:tcPr/>
          <w:p>
            <w:pPr>
              <w:pStyle w:val="Compac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msk-donskaya-omabakumova-gw-1</w:t>
            </w: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UpLink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f0/0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msk-donskaya-omabakumova-sw-1</w:t>
            </w:r>
          </w:p>
        </w:tc>
        <w:tc>
          <w:tcPr/>
          <w:p>
            <w:pPr>
              <w:pStyle w:val="Compact"/>
            </w:pPr>
            <w:r>
              <w:t xml:space="preserve">f0/24</w:t>
            </w:r>
          </w:p>
        </w:tc>
        <w:tc>
          <w:tcPr/>
          <w:p>
            <w:pPr>
              <w:pStyle w:val="Compac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msk-donskaya-omabakumova-sw-2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Web-server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</w:t>
            </w:r>
          </w:p>
        </w:tc>
        <w:tc>
          <w:tcPr/>
          <w:p>
            <w:pPr>
              <w:pStyle w:val="Compact"/>
            </w:pPr>
            <w:r>
              <w:t xml:space="preserve">File-server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msk-donskaya-omabakumova-sw-3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Mail-server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</w:t>
            </w:r>
          </w:p>
        </w:tc>
        <w:tc>
          <w:tcPr/>
          <w:p>
            <w:pPr>
              <w:pStyle w:val="Compact"/>
            </w:pPr>
            <w:r>
              <w:t xml:space="preserve">Dns-server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msk-donskaya-omabakumova-sw-4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f0/1–f0/5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f0/6–f0/10</w:t>
            </w:r>
          </w:p>
        </w:tc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f0/11–f0/15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f0/16–f0/24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msk-pavlovskaya-omabakumova-sw-1</w:t>
            </w:r>
          </w:p>
        </w:tc>
        <w:tc>
          <w:tcPr/>
          <w:p>
            <w:pPr>
              <w:pStyle w:val="Compact"/>
            </w:pPr>
            <w:r>
              <w:t xml:space="preserve">f0/24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f0/1–f0/15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6" w:name="fig:001"/>
    <w:p>
      <w:pPr>
        <w:pStyle w:val="CaptionedFigure"/>
      </w:pPr>
      <w:r>
        <w:drawing>
          <wp:inline>
            <wp:extent cx="4267200" cy="2085030"/>
            <wp:effectExtent b="0" l="0" r="0" t="0"/>
            <wp:docPr descr="Рис. 1: Размещение маршрутизатор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85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Размещение маршрутизатора</w:t>
      </w:r>
    </w:p>
    <w:bookmarkEnd w:id="26"/>
    <w:p>
      <w:pPr>
        <w:pStyle w:val="BodyText"/>
      </w:pPr>
      <w:r>
        <w:t xml:space="preserve">Проведем первоначальную настройку маршрутизатора, сконфигурировав маршрутизатор, задав на</w:t>
      </w:r>
      <w:r>
        <w:t xml:space="preserve"> </w:t>
      </w:r>
      <w:r>
        <w:t xml:space="preserve">нём имя, пароль для доступа к консоли, настроим удалённое подключение к нему по ssh (рис. 2):</w:t>
      </w:r>
    </w:p>
    <w:bookmarkStart w:id="30" w:name="fig:002"/>
    <w:p>
      <w:pPr>
        <w:pStyle w:val="CaptionedFigure"/>
      </w:pPr>
      <w:r>
        <w:drawing>
          <wp:inline>
            <wp:extent cx="4267200" cy="942004"/>
            <wp:effectExtent b="0" l="0" r="0" t="0"/>
            <wp:docPr descr="Рис. 2: Первоначальная настройка маршрутизатора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42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Первоначальная настройка маршрутизатора</w:t>
      </w:r>
    </w:p>
    <w:bookmarkEnd w:id="30"/>
    <w:bookmarkStart w:id="34" w:name="fig:003"/>
    <w:p>
      <w:pPr>
        <w:pStyle w:val="CaptionedFigure"/>
      </w:pPr>
      <w:r>
        <w:drawing>
          <wp:inline>
            <wp:extent cx="4267200" cy="2871996"/>
            <wp:effectExtent b="0" l="0" r="0" t="0"/>
            <wp:docPr descr="Рис. 3: Первоначальная настройка маршрутизатор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71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Первоначальная настройка маршрутизатора</w:t>
      </w:r>
    </w:p>
    <w:bookmarkEnd w:id="34"/>
    <w:p>
      <w:pPr>
        <w:pStyle w:val="BodyText"/>
      </w:pPr>
      <w:r>
        <w:t xml:space="preserve">Настроим порт 24 коммутатора msk-donskaya-sw-1 как trunk-порт (рис. 4):</w:t>
      </w:r>
    </w:p>
    <w:bookmarkStart w:id="38" w:name="fig:004"/>
    <w:p>
      <w:pPr>
        <w:pStyle w:val="CaptionedFigure"/>
      </w:pPr>
      <w:r>
        <w:drawing>
          <wp:inline>
            <wp:extent cx="4267200" cy="2183027"/>
            <wp:effectExtent b="0" l="0" r="0" t="0"/>
            <wp:docPr descr="Рис. 4: Настройка порта 24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83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порта 24</w:t>
      </w:r>
    </w:p>
    <w:bookmarkEnd w:id="38"/>
    <w:p>
      <w:pPr>
        <w:pStyle w:val="BodyText"/>
      </w:pPr>
      <w:r>
        <w:t xml:space="preserve">На интерфейсе f0/0 маршрутизатора msk-donskaya-omabakumova-gw-1 настроим виртуальные интерфейсы, соответствующие номерам VLAN. Согласно таблице</w:t>
      </w:r>
      <w:r>
        <w:t xml:space="preserve"> </w:t>
      </w:r>
      <w:r>
        <w:t xml:space="preserve">IP-адресов (табл. 1) зададим соответствующие IP-адреса</w:t>
      </w:r>
      <w:r>
        <w:t xml:space="preserve"> </w:t>
      </w:r>
      <w:r>
        <w:t xml:space="preserve">на виртуальных интерфейсах (рис. 5):</w:t>
      </w:r>
    </w:p>
    <w:bookmarkStart w:id="42" w:name="fig:005"/>
    <w:p>
      <w:pPr>
        <w:pStyle w:val="CaptionedFigure"/>
      </w:pPr>
      <w:r>
        <w:drawing>
          <wp:inline>
            <wp:extent cx="4267200" cy="3492602"/>
            <wp:effectExtent b="0" l="0" r="0" t="0"/>
            <wp:docPr descr="Рис. 5: Конфигурация VLAN-интерфейсов маршрутизатора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92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Конфигурация VLAN-интерфейсов маршрутизатора</w:t>
      </w:r>
    </w:p>
    <w:bookmarkEnd w:id="42"/>
    <w:bookmarkStart w:id="46" w:name="fig:006"/>
    <w:p>
      <w:pPr>
        <w:pStyle w:val="CaptionedFigure"/>
      </w:pPr>
      <w:r>
        <w:drawing>
          <wp:inline>
            <wp:extent cx="4267200" cy="3492602"/>
            <wp:effectExtent b="0" l="0" r="0" t="0"/>
            <wp:docPr descr="Рис. 6: Конфигурация VLAN-интерфейсов маршрутизатора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92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Конфигурация VLAN-интерфейсов маршрутизатора</w:t>
      </w:r>
    </w:p>
    <w:bookmarkEnd w:id="46"/>
    <w:p>
      <w:pPr>
        <w:pStyle w:val="BodyText"/>
      </w:pPr>
      <w:r>
        <w:t xml:space="preserve">Теперь проверим доступность оконечных устройств из разных VLAN (рис. 7):</w:t>
      </w:r>
    </w:p>
    <w:bookmarkStart w:id="50" w:name="fig:007"/>
    <w:p>
      <w:pPr>
        <w:pStyle w:val="CaptionedFigure"/>
      </w:pPr>
      <w:r>
        <w:drawing>
          <wp:inline>
            <wp:extent cx="4267200" cy="4201838"/>
            <wp:effectExtent b="0" l="0" r="0" t="0"/>
            <wp:docPr descr="Рис. 7: Вывод информации о оконечном устройстве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01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Вывод информации о оконечном устройстве</w:t>
      </w:r>
    </w:p>
    <w:bookmarkEnd w:id="50"/>
    <w:bookmarkStart w:id="54" w:name="fig:008"/>
    <w:p>
      <w:pPr>
        <w:pStyle w:val="CaptionedFigure"/>
      </w:pPr>
      <w:r>
        <w:drawing>
          <wp:inline>
            <wp:extent cx="4267200" cy="5901446"/>
            <wp:effectExtent b="0" l="0" r="0" t="0"/>
            <wp:docPr descr="Рис. 8: Проверка доступности с помощью ping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90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доступности с помощью ping</w:t>
      </w:r>
    </w:p>
    <w:bookmarkEnd w:id="54"/>
    <w:p>
      <w:pPr>
        <w:pStyle w:val="BodyText"/>
      </w:pPr>
      <w:r>
        <w:t xml:space="preserve">Используя режим симуляции в Packet Tracer, изучим процесс передвижения пакета ICMP по сети (рис. 9):</w:t>
      </w:r>
    </w:p>
    <w:bookmarkStart w:id="58" w:name="fig:009"/>
    <w:p>
      <w:pPr>
        <w:pStyle w:val="CaptionedFigure"/>
      </w:pPr>
      <w:r>
        <w:drawing>
          <wp:inline>
            <wp:extent cx="4267200" cy="2057027"/>
            <wp:effectExtent b="0" l="0" r="0" t="0"/>
            <wp:docPr descr="Рис. 9: Передвижение пакетов по сети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5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Передвижение пакетов по сети</w:t>
      </w:r>
    </w:p>
    <w:bookmarkEnd w:id="58"/>
    <w:p>
      <w:pPr>
        <w:pStyle w:val="BodyText"/>
      </w:pPr>
      <w:r>
        <w:t xml:space="preserve">остановив симуляцию,мы можем рассмотреть поподробнее пакет типа ICMP,взглянув на информацию о PDU (рис. 10):</w:t>
      </w:r>
    </w:p>
    <w:bookmarkStart w:id="62" w:name="fig:010"/>
    <w:p>
      <w:pPr>
        <w:pStyle w:val="CaptionedFigure"/>
      </w:pPr>
      <w:r>
        <w:drawing>
          <wp:inline>
            <wp:extent cx="4267200" cy="4008120"/>
            <wp:effectExtent b="0" l="0" r="0" t="0"/>
            <wp:docPr descr="Рис. 10: Информация о PDU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0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Информация о PDU</w:t>
      </w:r>
    </w:p>
    <w:bookmarkEnd w:id="62"/>
    <w:bookmarkEnd w:id="63"/>
    <w:bookmarkStart w:id="6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Охарактеризуйте стандарт IEEE 802.1Q.</w:t>
      </w:r>
    </w:p>
    <w:p>
      <w:pPr>
        <w:pStyle w:val="FirstParagraph"/>
      </w:pPr>
      <w:r>
        <w:t xml:space="preserve">IEEE 802.1Q — это стандарт, разработанный для управления виртуальными локальными сетями (VLAN) в Ethernet-сетях. Он определяет метод тегирования Ethernet-кадров, позволяя разделять трафик на разные виртуальные сети в рамках одной физической сети. Это позволяет улучшить безопасность и управляемость сети, а также оптимизировать использование ресурсов. Стандарт 802.1Q добавляет специальный тег к кадрам Ethernet, который содержит информацию о VLAN, к которой принадлежит кадр. Это позволяет коммутаторам правильно маршрутизировать трафик и обеспечивать изоляцию между различными VLAN.</w:t>
      </w:r>
    </w:p>
    <w:p>
      <w:pPr>
        <w:pStyle w:val="Compact"/>
        <w:numPr>
          <w:ilvl w:val="0"/>
          <w:numId w:val="1003"/>
        </w:numPr>
      </w:pPr>
      <w:r>
        <w:t xml:space="preserve">Опишите формат кадра IEEE 802.1Q.</w:t>
      </w:r>
    </w:p>
    <w:p>
      <w:pPr>
        <w:pStyle w:val="FirstParagraph"/>
      </w:pPr>
      <w:r>
        <w:t xml:space="preserve">Формат кадра IEEE 802.1Q включает несколько ключевых компонентов. Сначала идет Ethernet-заголовок, который содержит стандартные поля, такие как MAC-адреса источника и назначения, а также тип/длину кадра. Затем вставляется тег VLAN, который состоит из 4 байт. Он включает TPID (Tag Protocol Identifier) — 2 байта, устанавливаемый в значение 0x8100, что указывает на наличие тега VLAN. Далее идет TCI (Tag Control Information) — 2 байта, содержащие Priority Code Point (PCP) для приоритизации трафика, Drop Eligible Indicator (DEI), указывающий на возможность отбрасывания кадра при перегрузке, и VLAN Identifier (VID), определяющий идентификатор VLAN (от 0 до 4095). После этого следует поле данных, содержащее полезную нагрузку, и контрольная сумма для проверки целостности кадра. Таким образом, формат кадра IEEE 802.1Q позволяет эффективно обрабатывать и маршрутизировать трафик в соответствии с заданной виртуальной локальной сетью.</w:t>
      </w:r>
    </w:p>
    <w:bookmarkEnd w:id="64"/>
    <w:bookmarkStart w:id="6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приобрела настраивания статической маршрутизации VLAN в сети.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6. Статическая маршрутизация VLAN</dc:title>
  <dc:creator>Абакумова Олеся Максимовна, НФИбд-02-22</dc:creator>
  <dc:language>ru-RU</dc:language>
  <cp:keywords/>
  <dcterms:created xsi:type="dcterms:W3CDTF">2025-04-05T19:11:26Z</dcterms:created>
  <dcterms:modified xsi:type="dcterms:W3CDTF">2025-04-05T19:11:26Z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