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6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30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34.png" ContentType="image/png"/>
  <Override PartName="/word/media/rId183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6. Решение моделей в непрерывном и дискретном времени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Выполнить примеры, приведенные в лабораторной работе.</w:t>
      </w:r>
    </w:p>
    <w:p>
      <w:pPr>
        <w:numPr>
          <w:ilvl w:val="0"/>
          <w:numId w:val="1001"/>
        </w:numPr>
      </w:pPr>
      <w:r>
        <w:t xml:space="preserve">Выполнить задания для самостоятельного выполнения</w:t>
      </w:r>
    </w:p>
    <w:bookmarkEnd w:id="21"/>
    <w:bookmarkStart w:id="18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74" w:name="предварительные-свед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Предварительные сведения</w:t>
      </w:r>
    </w:p>
    <w:bookmarkStart w:id="56" w:name="Xd334ed27a1ef487d0bed26bc9dd5b323bb62532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Решение обыкновенных дифференциальных уравнений</w:t>
      </w:r>
    </w:p>
    <w:p>
      <w:pPr>
        <w:pStyle w:val="FirstParagraph"/>
      </w:pPr>
      <w:r>
        <w:t xml:space="preserve">Напомним, что обыкновенное дифференциальное уравнение (ОДУ) описывает изменение некоторой переменной</w:t>
      </w:r>
      <w:r>
        <w:t xml:space="preserve"> </w:t>
      </w:r>
      <m:oMath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,</w:t>
      </w:r>
    </w:p>
    <w:p>
      <w:pPr>
        <w:pStyle w:val="BodyText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— нелинейная модель (функция) изменения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 заданным начальным</w:t>
      </w:r>
      <w:r>
        <w:t xml:space="preserve"> </w:t>
      </w:r>
      <w:r>
        <w:t xml:space="preserve">значением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параметры модели,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время.</w:t>
      </w:r>
      <w:r>
        <w:t xml:space="preserve"> </w:t>
      </w:r>
      <w:r>
        <w:t xml:space="preserve">Для решения обыкновенных дифференциальных уравнений (ОДУ) в Julia можно использовать пакет</w:t>
      </w:r>
      <w:r>
        <w:t xml:space="preserve"> </w:t>
      </w:r>
      <w:r>
        <w:rPr>
          <w:rStyle w:val="VerbatimChar"/>
        </w:rPr>
        <w:t xml:space="preserve">diffrentialEquations.jl</w:t>
      </w:r>
      <w:r>
        <w:t xml:space="preserve">.</w:t>
      </w:r>
    </w:p>
    <w:bookmarkStart w:id="42" w:name="модель-экспоненциального-роста"/>
    <w:p>
      <w:pPr>
        <w:pStyle w:val="Heading4"/>
      </w:pPr>
      <w:r>
        <w:rPr>
          <w:rStyle w:val="SectionNumber"/>
        </w:rPr>
        <w:t xml:space="preserve">3.1.1.1</w:t>
      </w:r>
      <w:r>
        <w:tab/>
      </w:r>
      <w:r>
        <w:t xml:space="preserve">Модель экспоненциального роста</w:t>
      </w:r>
    </w:p>
    <w:p>
      <w:pPr>
        <w:pStyle w:val="FirstParagraph"/>
      </w:pPr>
      <w:r>
        <w:t xml:space="preserve">Рассмотрим пример использования этого пакета для решение уравнения модели экспоненциального роста, описываемую уравнением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,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роста.</w:t>
      </w:r>
      <w:r>
        <w:t xml:space="preserve"> </w:t>
      </w:r>
      <w:r>
        <w:t xml:space="preserve">Предположим, что заданы следующие начальные данные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</m:t>
        </m:r>
      </m:oMath>
      <w:r>
        <w:t xml:space="preserve">,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Аналитическое решение модели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Численное решение в Julia будет иметь следующий вид (рис. 1):</w:t>
      </w:r>
    </w:p>
    <w:bookmarkStart w:id="25" w:name="fig:001"/>
    <w:p>
      <w:pPr>
        <w:pStyle w:val="CaptionedFigure"/>
      </w:pPr>
      <w:r>
        <w:drawing>
          <wp:inline>
            <wp:extent cx="3733800" cy="3136123"/>
            <wp:effectExtent b="0" l="0" r="0" t="0"/>
            <wp:docPr descr="Рис. 1: Установка и подключение пакета diffrentialEquations.jl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и подключение пакета</w:t>
      </w:r>
      <w:r>
        <w:t xml:space="preserve"> </w:t>
      </w:r>
      <w:r>
        <w:rPr>
          <w:rStyle w:val="VerbatimChar"/>
        </w:rPr>
        <w:t xml:space="preserve">diffrentialEquations.jl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3794760"/>
            <wp:effectExtent b="0" l="0" r="0" t="0"/>
            <wp:docPr descr="Рис. 2: Численное решение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Численное решение</w:t>
      </w:r>
    </w:p>
    <w:bookmarkEnd w:id="29"/>
    <w:p>
      <w:pPr>
        <w:pStyle w:val="BodyText"/>
      </w:pPr>
      <w:r>
        <w:t xml:space="preserve">Построение графика, соответствующего полученному решению (рис. 3):</w:t>
      </w:r>
    </w:p>
    <w:bookmarkStart w:id="33" w:name="fig:003"/>
    <w:p>
      <w:pPr>
        <w:pStyle w:val="CaptionedFigure"/>
      </w:pPr>
      <w:r>
        <w:drawing>
          <wp:inline>
            <wp:extent cx="3733800" cy="2233537"/>
            <wp:effectExtent b="0" l="0" r="0" t="0"/>
            <wp:docPr descr="Рис. 3: Модель экспоненциального рост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экспоненциального роста</w:t>
      </w:r>
    </w:p>
    <w:bookmarkEnd w:id="33"/>
    <w:p>
      <w:pPr>
        <w:pStyle w:val="BodyText"/>
      </w:pPr>
      <w:r>
        <w:t xml:space="preserve">При построении одного из графиков использовался вызов</w:t>
      </w:r>
      <w:r>
        <w:t xml:space="preserve"> </w:t>
      </w:r>
      <w:r>
        <w:rPr>
          <w:rStyle w:val="VerbatimChar"/>
        </w:rPr>
        <w:t xml:space="preserve">sol.t</w:t>
      </w:r>
      <w:r>
        <w:t xml:space="preserve">, чтобы захватить массив моментов времени. Массив решений можно получить, воспользовавшись</w:t>
      </w:r>
      <w:r>
        <w:t xml:space="preserve"> </w:t>
      </w:r>
      <w:r>
        <w:rPr>
          <w:rStyle w:val="VerbatimChar"/>
        </w:rPr>
        <w:t xml:space="preserve">sol.u</w:t>
      </w:r>
      <w:r>
        <w:t xml:space="preserve">.</w:t>
      </w:r>
    </w:p>
    <w:p>
      <w:pPr>
        <w:pStyle w:val="BodyText"/>
      </w:pPr>
      <w:r>
        <w:t xml:space="preserve">Если требуется задать точность решения, то можно воспользоваться параметрами</w:t>
      </w:r>
      <w:r>
        <w:t xml:space="preserve"> </w:t>
      </w:r>
      <w:r>
        <w:rPr>
          <w:rStyle w:val="VerbatimChar"/>
        </w:rPr>
        <w:t xml:space="preserve">abstol</w:t>
      </w:r>
      <w:r>
        <w:t xml:space="preserve"> </w:t>
      </w:r>
      <w:r>
        <w:t xml:space="preserve">(задаёт близость к нулю) и</w:t>
      </w:r>
      <w:r>
        <w:t xml:space="preserve"> </w:t>
      </w:r>
      <w:r>
        <w:rPr>
          <w:rStyle w:val="VerbatimChar"/>
        </w:rPr>
        <w:t xml:space="preserve">reltol</w:t>
      </w:r>
      <w:r>
        <w:t xml:space="preserve"> </w:t>
      </w:r>
      <w:r>
        <w:t xml:space="preserve">(задаёт относительную точность). По умолчанию эти параметры имеют значение</w:t>
      </w:r>
      <w:r>
        <w:t xml:space="preserve"> </w:t>
      </w:r>
      <w:r>
        <w:rPr>
          <w:rStyle w:val="VerbatimChar"/>
        </w:rPr>
        <w:t xml:space="preserve">abstol = 1e-6 и reltol = 1e-3</w:t>
      </w:r>
      <w:r>
        <w:t xml:space="preserve">.</w:t>
      </w:r>
    </w:p>
    <w:p>
      <w:pPr>
        <w:pStyle w:val="BodyText"/>
      </w:pPr>
      <w:r>
        <w:t xml:space="preserve">Для модели экспоненциального роста (рис. 4):</w:t>
      </w:r>
    </w:p>
    <w:bookmarkStart w:id="37" w:name="fig:004"/>
    <w:p>
      <w:pPr>
        <w:pStyle w:val="CaptionedFigure"/>
      </w:pPr>
      <w:r>
        <w:drawing>
          <wp:inline>
            <wp:extent cx="3733800" cy="1619318"/>
            <wp:effectExtent b="0" l="0" r="0" t="0"/>
            <wp:docPr descr="Рис. 4: Задание точности решения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точности решения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474727"/>
            <wp:effectExtent b="0" l="0" r="0" t="0"/>
            <wp:docPr descr="Рис. 5: Модель экспоненциального рост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экспоненциального роста</w:t>
      </w:r>
    </w:p>
    <w:bookmarkEnd w:id="41"/>
    <w:bookmarkEnd w:id="42"/>
    <w:bookmarkStart w:id="55" w:name="система-лоренца"/>
    <w:p>
      <w:pPr>
        <w:pStyle w:val="Heading4"/>
      </w:pPr>
      <w:r>
        <w:rPr>
          <w:rStyle w:val="SectionNumber"/>
        </w:rPr>
        <w:t xml:space="preserve">3.1.1.2</w:t>
      </w:r>
      <w:r>
        <w:tab/>
      </w:r>
      <w:r>
        <w:t xml:space="preserve">Система Лоренца</w:t>
      </w:r>
    </w:p>
    <w:p>
      <w:pPr>
        <w:pStyle w:val="FirstParagraph"/>
      </w:pPr>
      <w:r>
        <w:t xml:space="preserve">Динамической системой Лоренца является нелинейная автономная система обыкновенных дифференциальных уравнений третьего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σ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ρ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z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параметры системы (некоторые положительные числа, обычно указывают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3</m:t>
        </m:r>
      </m:oMath>
      <w:r>
        <w:t xml:space="preserve">).</w:t>
      </w:r>
    </w:p>
    <w:p>
      <w:pPr>
        <w:pStyle w:val="BodyText"/>
      </w:pPr>
      <w:r>
        <w:t xml:space="preserve">Система получена из системы уравнений Навье–Стокса и описывает движение</w:t>
      </w:r>
      <w:r>
        <w:t xml:space="preserve"> </w:t>
      </w:r>
      <w:r>
        <w:t xml:space="preserve">воздушных потоков в плоском слое жидкости постоянной толщины при разложении</w:t>
      </w:r>
      <w:r>
        <w:t xml:space="preserve"> </w:t>
      </w:r>
      <w:r>
        <w:t xml:space="preserve">скорости течения и температуры в двойные ряды Фурье с последующем усечением до первых-вторых гармоник.</w:t>
      </w:r>
    </w:p>
    <w:p>
      <w:pPr>
        <w:pStyle w:val="BodyText"/>
      </w:pPr>
      <w:r>
        <w:t xml:space="preserve">Решение системы неустойчиво на аттракторе, что не позволяет применять классические численные методы на больших отрезках времени, требуется использовать высокоточные вычисления.</w:t>
      </w:r>
    </w:p>
    <w:p>
      <w:pPr>
        <w:pStyle w:val="BodyText"/>
      </w:pPr>
      <w:r>
        <w:t xml:space="preserve">Численное решение в Julia будет иметь следующий вид (рис. 6):</w:t>
      </w:r>
    </w:p>
    <w:bookmarkStart w:id="46" w:name="fig:006"/>
    <w:p>
      <w:pPr>
        <w:pStyle w:val="CaptionedFigure"/>
      </w:pPr>
      <w:r>
        <w:drawing>
          <wp:inline>
            <wp:extent cx="3733800" cy="4225677"/>
            <wp:effectExtent b="0" l="0" r="0" t="0"/>
            <wp:docPr descr="Рис. 6: Численное решение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Численное решение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2272929"/>
            <wp:effectExtent b="0" l="0" r="0" t="0"/>
            <wp:docPr descr="Рис. 7: Аттрактор Лоренц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2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Аттрактор Лоренца</w:t>
      </w:r>
    </w:p>
    <w:bookmarkEnd w:id="50"/>
    <w:p>
      <w:pPr>
        <w:pStyle w:val="BodyText"/>
      </w:pPr>
      <w:r>
        <w:t xml:space="preserve">Можно отключить интерполяцию (рис. 8):</w:t>
      </w:r>
    </w:p>
    <w:bookmarkStart w:id="54" w:name="fig:008"/>
    <w:p>
      <w:pPr>
        <w:pStyle w:val="CaptionedFigure"/>
      </w:pPr>
      <w:r>
        <w:drawing>
          <wp:inline>
            <wp:extent cx="3733800" cy="1758835"/>
            <wp:effectExtent b="0" l="0" r="0" t="0"/>
            <wp:docPr descr="Рис. 8: Аттрактор Лоренца (интерполяция отключена)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Аттрактор Лоренца (интерполяция отключена)</w:t>
      </w:r>
    </w:p>
    <w:bookmarkEnd w:id="54"/>
    <w:bookmarkEnd w:id="55"/>
    <w:bookmarkEnd w:id="56"/>
    <w:bookmarkStart w:id="73" w:name="модель-лоткивольтерры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Модель Лотки–Вольтерры</w:t>
      </w:r>
    </w:p>
    <w:p>
      <w:pPr>
        <w:pStyle w:val="FirstParagraph"/>
      </w:pPr>
      <w:r>
        <w:t xml:space="preserve">Модель Лотки–Вольтерры описывает взаимодействие двух видов типа «хищник – 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β</m:t>
                        </m:r>
                        <m:r>
                          <m:t>y</m:t>
                        </m:r>
                      </m:e>
                    </m:d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γ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δ</m:t>
                        </m:r>
                        <m:r>
                          <m:t>x</m:t>
                        </m:r>
                      </m:e>
                    </m:d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количество хищников,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время,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 (в данном случае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коэффициент</w:t>
      </w:r>
      <w:r>
        <w:t xml:space="preserve"> </w:t>
      </w:r>
      <w:r>
        <w:t xml:space="preserve">рождаемости жертв,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убыли хищников,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убыли жертв в результате взаимодействия с хищниками,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коэффициент роста численности хищников).</w:t>
      </w:r>
    </w:p>
    <w:p>
      <w:pPr>
        <w:pStyle w:val="BodyText"/>
      </w:pPr>
      <w:r>
        <w:t xml:space="preserve">Численное решение в Julia будет иметь следующий вид (рис. 9):</w:t>
      </w:r>
    </w:p>
    <w:bookmarkStart w:id="60" w:name="fig:009"/>
    <w:p>
      <w:pPr>
        <w:pStyle w:val="CaptionedFigure"/>
      </w:pPr>
      <w:r>
        <w:drawing>
          <wp:inline>
            <wp:extent cx="3733800" cy="3093720"/>
            <wp:effectExtent b="0" l="0" r="0" t="0"/>
            <wp:docPr descr="Рис. 9: Подключение пакета ParameterizedFunctions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Подключение пакета</w:t>
      </w:r>
      <w:r>
        <w:t xml:space="preserve"> </w:t>
      </w:r>
      <w:r>
        <w:rPr>
          <w:rStyle w:val="VerbatimChar"/>
        </w:rPr>
        <w:t xml:space="preserve">ParameterizedFunctions</w:t>
      </w:r>
    </w:p>
    <w:bookmarkEnd w:id="60"/>
    <w:bookmarkStart w:id="64" w:name="fig:010"/>
    <w:p>
      <w:pPr>
        <w:pStyle w:val="CaptionedFigure"/>
      </w:pPr>
      <w:r>
        <w:drawing>
          <wp:inline>
            <wp:extent cx="3733800" cy="1965522"/>
            <wp:effectExtent b="0" l="0" r="0" t="0"/>
            <wp:docPr descr="Рис. 10: Численное решение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5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Численное решение</w:t>
      </w:r>
    </w:p>
    <w:bookmarkEnd w:id="64"/>
    <w:bookmarkStart w:id="68" w:name="fig:011"/>
    <w:p>
      <w:pPr>
        <w:pStyle w:val="CaptionedFigure"/>
      </w:pPr>
      <w:r>
        <w:drawing>
          <wp:inline>
            <wp:extent cx="3733800" cy="1910478"/>
            <wp:effectExtent b="0" l="0" r="0" t="0"/>
            <wp:docPr descr="Рис. 11: Модель Лотки–Вольтерры: динамика изменения численности популяций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Модель Лотки–Вольтерры: динамика изменения численности популяций</w:t>
      </w:r>
    </w:p>
    <w:bookmarkEnd w:id="68"/>
    <w:bookmarkStart w:id="72" w:name="fig:012"/>
    <w:p>
      <w:pPr>
        <w:pStyle w:val="CaptionedFigure"/>
      </w:pPr>
      <w:r>
        <w:drawing>
          <wp:inline>
            <wp:extent cx="3733800" cy="2134897"/>
            <wp:effectExtent b="0" l="0" r="0" t="0"/>
            <wp:docPr descr="Рис. 12: Модель Лотки–Вольтерры: фазовый портрет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Модель Лотки–Вольтерры: фазовый портрет</w:t>
      </w:r>
    </w:p>
    <w:bookmarkEnd w:id="72"/>
    <w:bookmarkEnd w:id="73"/>
    <w:bookmarkEnd w:id="74"/>
    <w:bookmarkStart w:id="187" w:name="задания-для-самостоятельного-выполне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Задания для самостоятельного выполнения</w:t>
      </w:r>
    </w:p>
    <w:p>
      <w:pPr>
        <w:pStyle w:val="Compact"/>
        <w:numPr>
          <w:ilvl w:val="0"/>
          <w:numId w:val="1002"/>
        </w:numPr>
      </w:pPr>
      <w:r>
        <w:t xml:space="preserve">Реализовать и проанализировать модель роста численности изолированной популяции (модель Мальтуса):̇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$x(t) — численность изолированной популяции в момент времени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роста популяции,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рождаемости,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смертности.</w:t>
      </w:r>
      <w:r>
        <w:t xml:space="preserve"> </w:t>
      </w:r>
      <w:r>
        <w:t xml:space="preserve">Начальные данные и параметры задать самостоятельно и пояснить их выбор. Построить соответствующие графики (в том числе с анимацией).</w:t>
      </w:r>
    </w:p>
    <w:bookmarkStart w:id="78" w:name="fig:013"/>
    <w:p>
      <w:pPr>
        <w:pStyle w:val="CaptionedFigure"/>
      </w:pPr>
      <w:r>
        <w:drawing>
          <wp:inline>
            <wp:extent cx="3733800" cy="5086148"/>
            <wp:effectExtent b="0" l="0" r="0" t="0"/>
            <wp:docPr descr="Рис. 13: Модель Мальтуса" title="" id="76" name="Picture"/>
            <a:graphic>
              <a:graphicData uri="http://schemas.openxmlformats.org/drawingml/2006/picture">
                <pic:pic>
                  <pic:nvPicPr>
                    <pic:cNvPr descr="image/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86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Модель Мальтуса</w:t>
      </w:r>
    </w:p>
    <w:bookmarkEnd w:id="78"/>
    <w:bookmarkStart w:id="82" w:name="fig:014"/>
    <w:p>
      <w:pPr>
        <w:pStyle w:val="CaptionedFigure"/>
      </w:pPr>
      <w:r>
        <w:drawing>
          <wp:inline>
            <wp:extent cx="3733800" cy="2380024"/>
            <wp:effectExtent b="0" l="0" r="0" t="0"/>
            <wp:docPr descr="Рис. 14: График модели Мальтуса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График модели Мальтуса</w:t>
      </w:r>
    </w:p>
    <w:bookmarkEnd w:id="82"/>
    <w:bookmarkStart w:id="86" w:name="fig:015"/>
    <w:p>
      <w:pPr>
        <w:pStyle w:val="CaptionedFigure"/>
      </w:pPr>
      <w:r>
        <w:drawing>
          <wp:inline>
            <wp:extent cx="3733800" cy="3260154"/>
            <wp:effectExtent b="0" l="0" r="0" t="0"/>
            <wp:docPr descr="Рис. 15: Анимация модели Мальтуса" title="" id="84" name="Picture"/>
            <a:graphic>
              <a:graphicData uri="http://schemas.openxmlformats.org/drawingml/2006/picture">
                <pic:pic>
                  <pic:nvPicPr>
                    <pic:cNvPr descr="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Анимация модели Мальтуса</w:t>
      </w:r>
    </w:p>
    <w:bookmarkEnd w:id="86"/>
    <w:p>
      <w:pPr>
        <w:numPr>
          <w:ilvl w:val="0"/>
          <w:numId w:val="1003"/>
        </w:numPr>
      </w:pPr>
      <w:r>
        <w:t xml:space="preserve">Реализовать и проанализировать логистическую модель роста популяции, заданную уравнением: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r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r>
          <m:t>r</m:t>
        </m:r>
      </m:oMath>
      <w:r>
        <w:t xml:space="preserve"> </w:t>
      </w:r>
      <w:r>
        <w:t xml:space="preserve">— коэффициент роста популяции,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потенциальная ёмкость экологической системы (предельное значение численности популяции). Начальные данные и параметрызадать самостоятельно и пояснить их выбор. Построить соответствующие графики (втом числе с анимацией).</w:t>
      </w:r>
    </w:p>
    <w:bookmarkStart w:id="90" w:name="fig:016"/>
    <w:p>
      <w:pPr>
        <w:pStyle w:val="CaptionedFigure"/>
      </w:pPr>
      <w:r>
        <w:drawing>
          <wp:inline>
            <wp:extent cx="3733800" cy="4474633"/>
            <wp:effectExtent b="0" l="0" r="0" t="0"/>
            <wp:docPr descr="Рис. 16: Логистическая модель роста популяции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4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Логистическая модель роста популяции</w:t>
      </w:r>
    </w:p>
    <w:bookmarkEnd w:id="90"/>
    <w:bookmarkStart w:id="94" w:name="fig:017"/>
    <w:p>
      <w:pPr>
        <w:pStyle w:val="CaptionedFigure"/>
      </w:pPr>
      <w:r>
        <w:drawing>
          <wp:inline>
            <wp:extent cx="3733800" cy="2879233"/>
            <wp:effectExtent b="0" l="0" r="0" t="0"/>
            <wp:docPr descr="Рис. 17: График логистической модели роста популяции" title="" id="92" name="Picture"/>
            <a:graphic>
              <a:graphicData uri="http://schemas.openxmlformats.org/drawingml/2006/picture">
                <pic:pic>
                  <pic:nvPicPr>
                    <pic:cNvPr descr="image/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9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График логистической модели роста популяции</w:t>
      </w:r>
    </w:p>
    <w:bookmarkEnd w:id="94"/>
    <w:bookmarkStart w:id="98" w:name="fig:018"/>
    <w:p>
      <w:pPr>
        <w:pStyle w:val="CaptionedFigure"/>
      </w:pPr>
      <w:r>
        <w:drawing>
          <wp:inline>
            <wp:extent cx="3733800" cy="3409663"/>
            <wp:effectExtent b="0" l="0" r="0" t="0"/>
            <wp:docPr descr="Рис. 18: Анимация графика логистической модели роста популяции" title="" id="96" name="Picture"/>
            <a:graphic>
              <a:graphicData uri="http://schemas.openxmlformats.org/drawingml/2006/picture">
                <pic:pic>
                  <pic:nvPicPr>
                    <pic:cNvPr descr="image/1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Анимация графика логистической модели роста популяции</w:t>
      </w:r>
    </w:p>
    <w:bookmarkEnd w:id="98"/>
    <w:p>
      <w:pPr>
        <w:numPr>
          <w:ilvl w:val="0"/>
          <w:numId w:val="1004"/>
        </w:numPr>
      </w:pPr>
      <w:r>
        <w:t xml:space="preserve">Реализовать и проанализировать модель эпидемии Кермака–Маккендрика (SIR-</w:t>
      </w:r>
      <w:r>
        <w:t xml:space="preserve"> </w:t>
      </w:r>
      <w:r>
        <w:t xml:space="preserve">модель):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acc>
                  <m:accPr>
                    <m:chr m:val="̇"/>
                  </m:accPr>
                  <m:e>
                    <m:r>
                      <m:t>s</m:t>
                    </m:r>
                  </m:e>
                </m:acc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  <m:r>
                  <m:t>i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acc>
                  <m:accPr>
                    <m:chr m:val="̇"/>
                  </m:accPr>
                  <m:e>
                    <m:r>
                      <m:t>i</m:t>
                    </m:r>
                  </m:e>
                </m:acc>
              </m:e>
              <m:e>
                <m:r>
                  <m:rPr>
                    <m:sty m:val="p"/>
                  </m:rPr>
                  <m:t>=</m:t>
                </m:r>
                <m:r>
                  <m:t>β</m:t>
                </m:r>
                <m:r>
                  <m:t>i</m:t>
                </m:r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ν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acc>
                  <m:accPr>
                    <m:chr m:val="̇"/>
                  </m:accPr>
                  <m:e>
                    <m:r>
                      <m:t>r</m:t>
                    </m:r>
                  </m:e>
                </m:acc>
              </m:e>
              <m:e>
                <m:r>
                  <m:rPr>
                    <m:sty m:val="p"/>
                  </m:rPr>
                  <m:t>=</m:t>
                </m:r>
                <m:r>
                  <m:t>ν</m:t>
                </m:r>
                <m:r>
                  <m:t>i</m:t>
                </m:r>
              </m:e>
            </m:mr>
          </m:m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восприимчивых к болезни индивидов в момент времени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инфицированных индивидов в момент времени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переболевших индивидов в момент времени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интенсивности контактов индивидов с последующим инфицированием,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— коэффициент интенсивности выздоровления инфицированных индивидов. Численность популяции считается постоянной, т.е.</w:t>
      </w:r>
      <w:r>
        <w:t xml:space="preserve">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+</m:t>
        </m:r>
        <m:acc>
          <m:accPr>
            <m:chr m:val="̇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.Начальные данные и параметры задать самостоятельно и пояснить их выбор. Построить соответствующие графики (в том числе с анимацией).</w:t>
      </w:r>
    </w:p>
    <w:bookmarkStart w:id="102" w:name="fig:019"/>
    <w:p>
      <w:pPr>
        <w:pStyle w:val="CaptionedFigure"/>
      </w:pPr>
      <w:r>
        <w:drawing>
          <wp:inline>
            <wp:extent cx="3733800" cy="4004571"/>
            <wp:effectExtent b="0" l="0" r="0" t="0"/>
            <wp:docPr descr="Рис. 19: Модель эпидемии SIR" title="" id="100" name="Picture"/>
            <a:graphic>
              <a:graphicData uri="http://schemas.openxmlformats.org/drawingml/2006/picture">
                <pic:pic>
                  <pic:nvPicPr>
                    <pic:cNvPr descr="image/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Модель эпидемии SIR</w:t>
      </w:r>
    </w:p>
    <w:bookmarkEnd w:id="102"/>
    <w:bookmarkStart w:id="106" w:name="fig:020"/>
    <w:p>
      <w:pPr>
        <w:pStyle w:val="CaptionedFigure"/>
      </w:pPr>
      <w:r>
        <w:drawing>
          <wp:inline>
            <wp:extent cx="3733800" cy="2650574"/>
            <wp:effectExtent b="0" l="0" r="0" t="0"/>
            <wp:docPr descr="Рис. 20: График модели эпидемии SIR" title="" id="104" name="Picture"/>
            <a:graphic>
              <a:graphicData uri="http://schemas.openxmlformats.org/drawingml/2006/picture">
                <pic:pic>
                  <pic:nvPicPr>
                    <pic:cNvPr descr="image/2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График модели эпидемии SIR</w:t>
      </w:r>
    </w:p>
    <w:bookmarkEnd w:id="106"/>
    <w:bookmarkStart w:id="110" w:name="fig:021"/>
    <w:p>
      <w:pPr>
        <w:pStyle w:val="CaptionedFigure"/>
      </w:pPr>
      <w:r>
        <w:drawing>
          <wp:inline>
            <wp:extent cx="3733800" cy="2872523"/>
            <wp:effectExtent b="0" l="0" r="0" t="0"/>
            <wp:docPr descr="Рис. 21: Отдельные графики модели эпидемии SIR" title="" id="108" name="Picture"/>
            <a:graphic>
              <a:graphicData uri="http://schemas.openxmlformats.org/drawingml/2006/picture">
                <pic:pic>
                  <pic:nvPicPr>
                    <pic:cNvPr descr="image/2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Отдельные графики модели эпидемии SIR</w:t>
      </w:r>
    </w:p>
    <w:bookmarkEnd w:id="110"/>
    <w:bookmarkStart w:id="114" w:name="fig:022"/>
    <w:p>
      <w:pPr>
        <w:pStyle w:val="CaptionedFigure"/>
      </w:pPr>
      <w:r>
        <w:drawing>
          <wp:inline>
            <wp:extent cx="3733800" cy="3523525"/>
            <wp:effectExtent b="0" l="0" r="0" t="0"/>
            <wp:docPr descr="Рис. 22: Анимация модели эпидемии SIR" title="" id="112" name="Picture"/>
            <a:graphic>
              <a:graphicData uri="http://schemas.openxmlformats.org/drawingml/2006/picture">
                <pic:pic>
                  <pic:nvPicPr>
                    <pic:cNvPr descr="image/2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Анимация модели эпидемии SIR</w:t>
      </w:r>
    </w:p>
    <w:bookmarkEnd w:id="114"/>
    <w:p>
      <w:pPr>
        <w:numPr>
          <w:ilvl w:val="0"/>
          <w:numId w:val="1005"/>
        </w:numPr>
      </w:pPr>
      <w:r>
        <w:t xml:space="preserve">Как расширение модели SIR (Susceptible-Infected-Removed) по результатом эпидемии испанки была предложена модель SEIR (Susceptible-Exposed-Infected-Removed):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acc>
                  <m:accPr>
                    <m:chr m:val="̇"/>
                  </m:accPr>
                  <m:e>
                    <m:r>
                      <m:t>s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β</m:t>
                    </m:r>
                  </m:num>
                  <m:den>
                    <m:r>
                      <m:t>N</m:t>
                    </m:r>
                  </m:den>
                </m:f>
                <m:r>
                  <m:t>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t>i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acc>
                  <m:accPr>
                    <m:chr m:val="̇"/>
                  </m:accPr>
                  <m:e>
                    <m:r>
                      <m:t>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β</m:t>
                    </m:r>
                  </m:num>
                  <m:den>
                    <m:r>
                      <m:t>N</m:t>
                    </m:r>
                  </m:den>
                </m:f>
                <m:r>
                  <m:t>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t>i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δ</m:t>
                </m:r>
                <m:r>
                  <m:t>e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acc>
                  <m:accPr>
                    <m:chr m:val="̇"/>
                  </m:accPr>
                  <m:e>
                    <m:r>
                      <m:t>i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δ</m:t>
                </m:r>
                <m:r>
                  <m:t>e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γ</m:t>
                </m:r>
                <m:r>
                  <m:t>i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acc>
                  <m:accPr>
                    <m:chr m:val="̇"/>
                  </m:accPr>
                  <m:e>
                    <m:r>
                      <m:t>r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t>i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Размер популяции сохраняется: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N</m:t>
          </m:r>
        </m:oMath>
      </m:oMathPara>
    </w:p>
    <w:p>
      <w:pPr>
        <w:pStyle w:val="FirstParagraph"/>
      </w:pPr>
      <w:r>
        <w:t xml:space="preserve">Исследуйте, сравните с SIR.</w:t>
      </w:r>
    </w:p>
    <w:bookmarkStart w:id="118" w:name="fig:023"/>
    <w:p>
      <w:pPr>
        <w:pStyle w:val="CaptionedFigure"/>
      </w:pPr>
      <w:r>
        <w:drawing>
          <wp:inline>
            <wp:extent cx="3733800" cy="4074251"/>
            <wp:effectExtent b="0" l="0" r="0" t="0"/>
            <wp:docPr descr="Рис. 23: Модель SEIR" title="" id="116" name="Picture"/>
            <a:graphic>
              <a:graphicData uri="http://schemas.openxmlformats.org/drawingml/2006/picture">
                <pic:pic>
                  <pic:nvPicPr>
                    <pic:cNvPr descr="image/2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Модель SEIR</w:t>
      </w:r>
    </w:p>
    <w:bookmarkEnd w:id="118"/>
    <w:bookmarkStart w:id="122" w:name="fig:024"/>
    <w:p>
      <w:pPr>
        <w:pStyle w:val="CaptionedFigure"/>
      </w:pPr>
      <w:r>
        <w:drawing>
          <wp:inline>
            <wp:extent cx="3733800" cy="2277207"/>
            <wp:effectExtent b="0" l="0" r="0" t="0"/>
            <wp:docPr descr="Рис. 24: График модели SEIR" title="" id="120" name="Picture"/>
            <a:graphic>
              <a:graphicData uri="http://schemas.openxmlformats.org/drawingml/2006/picture">
                <pic:pic>
                  <pic:nvPicPr>
                    <pic:cNvPr descr="image/2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7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График модели SEIR</w:t>
      </w:r>
    </w:p>
    <w:bookmarkEnd w:id="122"/>
    <w:bookmarkStart w:id="126" w:name="fig:025"/>
    <w:p>
      <w:pPr>
        <w:pStyle w:val="CaptionedFigure"/>
      </w:pPr>
      <w:r>
        <w:drawing>
          <wp:inline>
            <wp:extent cx="3733800" cy="3978116"/>
            <wp:effectExtent b="0" l="0" r="0" t="0"/>
            <wp:docPr descr="Рис. 25: Сравнение SIR и SEIR" title="" id="124" name="Picture"/>
            <a:graphic>
              <a:graphicData uri="http://schemas.openxmlformats.org/drawingml/2006/picture">
                <pic:pic>
                  <pic:nvPicPr>
                    <pic:cNvPr descr="image/2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Сравнение SIR и SEIR</w:t>
      </w:r>
    </w:p>
    <w:bookmarkEnd w:id="126"/>
    <w:bookmarkStart w:id="130" w:name="fig:026"/>
    <w:p>
      <w:pPr>
        <w:pStyle w:val="CaptionedFigure"/>
      </w:pPr>
      <w:r>
        <w:drawing>
          <wp:inline>
            <wp:extent cx="3733800" cy="2903557"/>
            <wp:effectExtent b="0" l="0" r="0" t="0"/>
            <wp:docPr descr="Рис. 26: Графики сравнения SIR и SEIR" title="" id="128" name="Picture"/>
            <a:graphic>
              <a:graphicData uri="http://schemas.openxmlformats.org/drawingml/2006/picture">
                <pic:pic>
                  <pic:nvPicPr>
                    <pic:cNvPr descr="image/2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Графики сравнения SIR и SEIR</w:t>
      </w:r>
    </w:p>
    <w:bookmarkEnd w:id="130"/>
    <w:bookmarkStart w:id="134" w:name="fig:027"/>
    <w:p>
      <w:pPr>
        <w:pStyle w:val="CaptionedFigure"/>
      </w:pPr>
      <w:r>
        <w:drawing>
          <wp:inline>
            <wp:extent cx="3733800" cy="1433608"/>
            <wp:effectExtent b="0" l="0" r="0" t="0"/>
            <wp:docPr descr="Рис. 27: Анализ результатов" title="" id="132" name="Picture"/>
            <a:graphic>
              <a:graphicData uri="http://schemas.openxmlformats.org/drawingml/2006/picture">
                <pic:pic>
                  <pic:nvPicPr>
                    <pic:cNvPr descr="image/2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Анализ результатов</w:t>
      </w:r>
    </w:p>
    <w:bookmarkEnd w:id="134"/>
    <w:p>
      <w:pPr>
        <w:numPr>
          <w:ilvl w:val="0"/>
          <w:numId w:val="1006"/>
        </w:numPr>
      </w:pPr>
      <w:r>
        <w:t xml:space="preserve">Для дискретной модели Лотки–Вольтерры: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d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с начальными данными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найдите точку равновесия. Получите и сравните аналитическое и численное решения. Численное решение изобразите на фазовом портрете.</w:t>
      </w:r>
    </w:p>
    <w:bookmarkStart w:id="138" w:name="fig:028"/>
    <w:p>
      <w:pPr>
        <w:pStyle w:val="CaptionedFigure"/>
      </w:pPr>
      <w:r>
        <w:drawing>
          <wp:inline>
            <wp:extent cx="3733800" cy="5140116"/>
            <wp:effectExtent b="0" l="0" r="0" t="0"/>
            <wp:docPr descr="Рис. 28: Модель Лотки-Вольтерры" title="" id="136" name="Picture"/>
            <a:graphic>
              <a:graphicData uri="http://schemas.openxmlformats.org/drawingml/2006/picture">
                <pic:pic>
                  <pic:nvPicPr>
                    <pic:cNvPr descr="image/28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4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Модель Лотки-Вольтерры</w:t>
      </w:r>
    </w:p>
    <w:bookmarkEnd w:id="138"/>
    <w:bookmarkStart w:id="142" w:name="fig:029"/>
    <w:p>
      <w:pPr>
        <w:pStyle w:val="CaptionedFigure"/>
      </w:pPr>
      <w:r>
        <w:drawing>
          <wp:inline>
            <wp:extent cx="3733800" cy="3076883"/>
            <wp:effectExtent b="0" l="0" r="0" t="0"/>
            <wp:docPr descr="Рис. 29: Фазовый портрет модели Лотки-Вольтерры" title="" id="140" name="Picture"/>
            <a:graphic>
              <a:graphicData uri="http://schemas.openxmlformats.org/drawingml/2006/picture">
                <pic:pic>
                  <pic:nvPicPr>
                    <pic:cNvPr descr="image/2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Фазовый портрет модели Лотки-Вольтерры</w:t>
      </w:r>
    </w:p>
    <w:bookmarkEnd w:id="142"/>
    <w:bookmarkStart w:id="146" w:name="fig:030"/>
    <w:p>
      <w:pPr>
        <w:pStyle w:val="CaptionedFigure"/>
      </w:pPr>
      <w:r>
        <w:drawing>
          <wp:inline>
            <wp:extent cx="3733800" cy="2863035"/>
            <wp:effectExtent b="0" l="0" r="0" t="0"/>
            <wp:docPr descr="Рис. 30: Фазовый портрет с точками равновесия" title="" id="144" name="Picture"/>
            <a:graphic>
              <a:graphicData uri="http://schemas.openxmlformats.org/drawingml/2006/picture">
                <pic:pic>
                  <pic:nvPicPr>
                    <pic:cNvPr descr="image/3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Фазовый портрет с точками равновесия</w:t>
      </w:r>
    </w:p>
    <w:bookmarkEnd w:id="146"/>
    <w:bookmarkStart w:id="150" w:name="fig:031"/>
    <w:p>
      <w:pPr>
        <w:pStyle w:val="CaptionedFigure"/>
      </w:pPr>
      <w:r>
        <w:drawing>
          <wp:inline>
            <wp:extent cx="3733800" cy="1001317"/>
            <wp:effectExtent b="0" l="0" r="0" t="0"/>
            <wp:docPr descr="Рис. 31: Проверка сходимости к точке равновесия" title="" id="148" name="Picture"/>
            <a:graphic>
              <a:graphicData uri="http://schemas.openxmlformats.org/drawingml/2006/picture">
                <pic:pic>
                  <pic:nvPicPr>
                    <pic:cNvPr descr="image/3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1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Проверка сходимости к точке равновесия</w:t>
      </w:r>
    </w:p>
    <w:bookmarkEnd w:id="150"/>
    <w:p>
      <w:pPr>
        <w:numPr>
          <w:ilvl w:val="0"/>
          <w:numId w:val="1007"/>
        </w:numPr>
      </w:pPr>
      <w:r>
        <w:t xml:space="preserve">Реализовать на языке Julia модель отбора на основе конкурентных отношений: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acc>
                  <m:accPr>
                    <m:chr m:val="̇"/>
                  </m:accPr>
                  <m:e>
                    <m:r>
                      <m:t>x</m:t>
                    </m:r>
                  </m:e>
                </m:acc>
              </m:e>
              <m:e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acc>
                  <m:accPr>
                    <m:chr m:val="̇"/>
                  </m:accPr>
                  <m:e>
                    <m:r>
                      <m:t>y</m:t>
                    </m:r>
                  </m:e>
                </m:acc>
              </m:e>
              <m:e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Начальные данные и параметры задать самостоятельно и пояснить их выбор. Построить соответствующие графики (в том числе с анимацией) и фазовый портрет.</w:t>
      </w:r>
    </w:p>
    <w:bookmarkStart w:id="154" w:name="fig:032"/>
    <w:p>
      <w:pPr>
        <w:pStyle w:val="CaptionedFigure"/>
      </w:pPr>
      <w:r>
        <w:drawing>
          <wp:inline>
            <wp:extent cx="3733800" cy="6476529"/>
            <wp:effectExtent b="0" l="0" r="0" t="0"/>
            <wp:docPr descr="Рис. 32: Модель конкуретных отношений" title="" id="152" name="Picture"/>
            <a:graphic>
              <a:graphicData uri="http://schemas.openxmlformats.org/drawingml/2006/picture">
                <pic:pic>
                  <pic:nvPicPr>
                    <pic:cNvPr descr="image/32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6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Модель конкуретных отношений</w:t>
      </w:r>
    </w:p>
    <w:bookmarkEnd w:id="154"/>
    <w:bookmarkStart w:id="158" w:name="fig:033"/>
    <w:p>
      <w:pPr>
        <w:pStyle w:val="CaptionedFigure"/>
      </w:pPr>
      <w:r>
        <w:drawing>
          <wp:inline>
            <wp:extent cx="3733800" cy="3518810"/>
            <wp:effectExtent b="0" l="0" r="0" t="0"/>
            <wp:docPr descr="Рис. 33: График временных зависимостей и фазовый портрет" title="" id="156" name="Picture"/>
            <a:graphic>
              <a:graphicData uri="http://schemas.openxmlformats.org/drawingml/2006/picture">
                <pic:pic>
                  <pic:nvPicPr>
                    <pic:cNvPr descr="image/3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График временных зависимостей и фазовый портрет</w:t>
      </w:r>
    </w:p>
    <w:bookmarkEnd w:id="158"/>
    <w:bookmarkStart w:id="162" w:name="fig:034"/>
    <w:p>
      <w:pPr>
        <w:pStyle w:val="CaptionedFigure"/>
      </w:pPr>
      <w:r>
        <w:drawing>
          <wp:inline>
            <wp:extent cx="3733800" cy="935557"/>
            <wp:effectExtent b="0" l="0" r="0" t="0"/>
            <wp:docPr descr="Рис. 34: Анимация модели конкрутентых отношений" title="" id="160" name="Picture"/>
            <a:graphic>
              <a:graphicData uri="http://schemas.openxmlformats.org/drawingml/2006/picture">
                <pic:pic>
                  <pic:nvPicPr>
                    <pic:cNvPr descr="image/3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5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Анимация модели конкрутентых отношений</w:t>
      </w:r>
    </w:p>
    <w:bookmarkEnd w:id="162"/>
    <w:p>
      <w:pPr>
        <w:numPr>
          <w:ilvl w:val="0"/>
          <w:numId w:val="1008"/>
        </w:numPr>
      </w:pPr>
      <w:r>
        <w:t xml:space="preserve">Реализовать на языке Julia модель консервативного гармонического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циклическая частота. Начальные параметры подобрать самостоятельно, выбор пояснить. Построить соответствующие графики (в том числе с анимацией) и фазовый портрет.</w:t>
      </w:r>
    </w:p>
    <w:bookmarkStart w:id="166" w:name="fig:035"/>
    <w:p>
      <w:pPr>
        <w:pStyle w:val="CaptionedFigure"/>
      </w:pPr>
      <w:r>
        <w:drawing>
          <wp:inline>
            <wp:extent cx="3733800" cy="5237691"/>
            <wp:effectExtent b="0" l="0" r="0" t="0"/>
            <wp:docPr descr="Рис. 35: Консервативный гармонический осциллятор" title="" id="164" name="Picture"/>
            <a:graphic>
              <a:graphicData uri="http://schemas.openxmlformats.org/drawingml/2006/picture">
                <pic:pic>
                  <pic:nvPicPr>
                    <pic:cNvPr descr="image/35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7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Консервативный гармонический осциллятор</w:t>
      </w:r>
    </w:p>
    <w:bookmarkEnd w:id="166"/>
    <w:bookmarkStart w:id="170" w:name="fig:036"/>
    <w:p>
      <w:pPr>
        <w:pStyle w:val="CaptionedFigure"/>
      </w:pPr>
      <w:r>
        <w:drawing>
          <wp:inline>
            <wp:extent cx="3733800" cy="3351736"/>
            <wp:effectExtent b="0" l="0" r="0" t="0"/>
            <wp:docPr descr="Рис. 36: График консервативного гармонического осциллятора и фазовый портрет" title="" id="168" name="Picture"/>
            <a:graphic>
              <a:graphicData uri="http://schemas.openxmlformats.org/drawingml/2006/picture">
                <pic:pic>
                  <pic:nvPicPr>
                    <pic:cNvPr descr="image/36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1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График консервативного гармонического осциллятора и фазовый портрет</w:t>
      </w:r>
    </w:p>
    <w:bookmarkEnd w:id="170"/>
    <w:bookmarkStart w:id="174" w:name="fig:037"/>
    <w:p>
      <w:pPr>
        <w:pStyle w:val="CaptionedFigure"/>
      </w:pPr>
      <w:r>
        <w:drawing>
          <wp:inline>
            <wp:extent cx="3733800" cy="2051020"/>
            <wp:effectExtent b="0" l="0" r="0" t="0"/>
            <wp:docPr descr="Рис. 37: Анимация фазового портрета" title="" id="172" name="Picture"/>
            <a:graphic>
              <a:graphicData uri="http://schemas.openxmlformats.org/drawingml/2006/picture">
                <pic:pic>
                  <pic:nvPicPr>
                    <pic:cNvPr descr="image/37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Анимация фазового портрета</w:t>
      </w:r>
    </w:p>
    <w:bookmarkEnd w:id="174"/>
    <w:p>
      <w:pPr>
        <w:numPr>
          <w:ilvl w:val="0"/>
          <w:numId w:val="1009"/>
        </w:numPr>
      </w:pPr>
      <w:r>
        <w:t xml:space="preserve">Реализовать на языке Julia модель свободных колебаний гармонического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циклическая частота,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параметр, характеризующий потери энергии. Начальные параметры подобрать самостоятельно, выбор пояснить. Построить соответствующие графики (в том числе с анимацией) и фазовый портрет.</w:t>
      </w:r>
    </w:p>
    <w:bookmarkStart w:id="178" w:name="fig:038"/>
    <w:p>
      <w:pPr>
        <w:pStyle w:val="CaptionedFigure"/>
      </w:pPr>
      <w:r>
        <w:drawing>
          <wp:inline>
            <wp:extent cx="3733800" cy="4595446"/>
            <wp:effectExtent b="0" l="0" r="0" t="0"/>
            <wp:docPr descr="Рис. 38: Свободные колебания гамонического осциллятора" title="" id="176" name="Picture"/>
            <a:graphic>
              <a:graphicData uri="http://schemas.openxmlformats.org/drawingml/2006/picture">
                <pic:pic>
                  <pic:nvPicPr>
                    <pic:cNvPr descr="image/38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9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Свободные колебания гамонического осциллятора</w:t>
      </w:r>
    </w:p>
    <w:bookmarkEnd w:id="178"/>
    <w:bookmarkStart w:id="182" w:name="fig:039"/>
    <w:p>
      <w:pPr>
        <w:pStyle w:val="CaptionedFigure"/>
      </w:pPr>
      <w:r>
        <w:drawing>
          <wp:inline>
            <wp:extent cx="3733800" cy="3330965"/>
            <wp:effectExtent b="0" l="0" r="0" t="0"/>
            <wp:docPr descr="Рис. 39: График затухающего гармонического осциллятора и его фазовый портрет" title="" id="180" name="Picture"/>
            <a:graphic>
              <a:graphicData uri="http://schemas.openxmlformats.org/drawingml/2006/picture">
                <pic:pic>
                  <pic:nvPicPr>
                    <pic:cNvPr descr="image/39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0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График затухающего гармонического осциллятора и его фазовый портрет</w:t>
      </w:r>
    </w:p>
    <w:bookmarkEnd w:id="182"/>
    <w:bookmarkStart w:id="186" w:name="fig:040"/>
    <w:p>
      <w:pPr>
        <w:pStyle w:val="CaptionedFigure"/>
      </w:pPr>
      <w:r>
        <w:drawing>
          <wp:inline>
            <wp:extent cx="3733800" cy="2153949"/>
            <wp:effectExtent b="0" l="0" r="0" t="0"/>
            <wp:docPr descr="Рис. 40: Анимация фазового портрета" title="" id="184" name="Picture"/>
            <a:graphic>
              <a:graphicData uri="http://schemas.openxmlformats.org/drawingml/2006/picture">
                <pic:pic>
                  <pic:nvPicPr>
                    <pic:cNvPr descr="image/40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3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Анимация фазового портрета</w:t>
      </w:r>
    </w:p>
    <w:bookmarkEnd w:id="186"/>
    <w:bookmarkEnd w:id="187"/>
    <w:bookmarkEnd w:id="188"/>
    <w:bookmarkStart w:id="18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освоила специализированные пакеты для решения задач в непрерывном и дискретном времени.</w:t>
      </w:r>
    </w:p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6" Target="media/rId26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30" Target="media/rId30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34" Target="media/rId34.png" /><Relationship Type="http://schemas.openxmlformats.org/officeDocument/2006/relationships/image" Id="rId183" Target="media/rId18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Решение моделей в непрерывном и дискретном времени</dc:title>
  <dc:creator>Абакумова Олеся Максимовна, НФИбд-02-22</dc:creator>
  <dc:language>ru-RU</dc:language>
  <cp:keywords/>
  <dcterms:created xsi:type="dcterms:W3CDTF">2025-11-22T14:15:25Z</dcterms:created>
  <dcterms:modified xsi:type="dcterms:W3CDTF">2025-11-22T14:15:25Z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