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3. Управляющие структуры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Основная цель работы — освоить применение циклов функций и сторонних для Julia</w:t>
      </w:r>
      <w:r>
        <w:t xml:space="preserve"> </w:t>
      </w:r>
      <w:r>
        <w:t xml:space="preserve">пакетов для решения задач линейной алгебры и работы с матрицами.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Выполнить примеры, приведенные в лабораторной работе.</w:t>
      </w:r>
    </w:p>
    <w:p>
      <w:pPr>
        <w:numPr>
          <w:ilvl w:val="0"/>
          <w:numId w:val="1001"/>
        </w:numPr>
      </w:pPr>
      <w:r>
        <w:t xml:space="preserve">Выполнить задания для самостоятельного выполнения</w:t>
      </w:r>
    </w:p>
    <w:bookmarkEnd w:id="21"/>
    <w:bookmarkStart w:id="8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0" w:name="циклы-while-и-for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Циклы while и for</w:t>
      </w:r>
    </w:p>
    <w:p>
      <w:pPr>
        <w:pStyle w:val="FirstParagraph"/>
      </w:pPr>
      <w:r>
        <w:t xml:space="preserve">Для различных операций, связанных с перебором индексируемых элементов структур</w:t>
      </w:r>
      <w:r>
        <w:t xml:space="preserve"> </w:t>
      </w:r>
      <w:r>
        <w:t xml:space="preserve">данных, традиционно используются циклы while и for.</w:t>
      </w:r>
      <w:r>
        <w:t xml:space="preserve"> </w:t>
      </w:r>
      <w:r>
        <w:t xml:space="preserve">Синтаксис while: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тело цикла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Синтаксис for: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переменная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диапазон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тело цикла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Рассмотрим примеры (рис. 1):</w:t>
      </w:r>
    </w:p>
    <w:bookmarkStart w:id="25" w:name="fig:001"/>
    <w:p>
      <w:pPr>
        <w:pStyle w:val="CaptionedFigure"/>
      </w:pPr>
      <w:r>
        <w:drawing>
          <wp:inline>
            <wp:extent cx="3733800" cy="3787418"/>
            <wp:effectExtent b="0" l="0" r="0" t="0"/>
            <wp:docPr descr="Рис. 1: Примеры с while и for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 с while и for</w:t>
      </w:r>
    </w:p>
    <w:bookmarkEnd w:id="25"/>
    <w:p>
      <w:pPr>
        <w:pStyle w:val="BodyText"/>
      </w:pPr>
      <w:r>
        <w:t xml:space="preserve">Пример использования цикла for для создания двумерного массива, в котором значение каждой записи является суммой индексов строки и столбца (рис. 2):</w:t>
      </w:r>
    </w:p>
    <w:bookmarkStart w:id="29" w:name="fig:002"/>
    <w:p>
      <w:pPr>
        <w:pStyle w:val="CaptionedFigure"/>
      </w:pPr>
      <w:r>
        <w:drawing>
          <wp:inline>
            <wp:extent cx="3733800" cy="2773257"/>
            <wp:effectExtent b="0" l="0" r="0" t="0"/>
            <wp:docPr descr="Рис. 2: Использование цикла for для создание двумерного массив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Использование цикла for для создание двумерного массива</w:t>
      </w:r>
    </w:p>
    <w:bookmarkEnd w:id="29"/>
    <w:p>
      <w:pPr>
        <w:pStyle w:val="BodyText"/>
      </w:pPr>
      <w:r>
        <w:t xml:space="preserve">Также выше приведены другие различные реализации.</w:t>
      </w:r>
    </w:p>
    <w:bookmarkEnd w:id="30"/>
    <w:bookmarkStart w:id="35" w:name="условные-выражения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Условные выражения</w:t>
      </w:r>
    </w:p>
    <w:p>
      <w:pPr>
        <w:pStyle w:val="FirstParagraph"/>
      </w:pPr>
      <w:r>
        <w:t xml:space="preserve">Довольно часто при решении задач требуется проверить выполнение тех или иных</w:t>
      </w:r>
      <w:r>
        <w:t xml:space="preserve"> </w:t>
      </w:r>
      <w:r>
        <w:t xml:space="preserve">условий. Для этого используют условные выражения.</w:t>
      </w:r>
      <w:r>
        <w:t xml:space="preserve"> </w:t>
      </w:r>
      <w:r>
        <w:t xml:space="preserve">Синтаксис условных выражений с ключевым словом: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условие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действие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&gt;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Рассмотрим пример (рис. 3):</w:t>
      </w:r>
    </w:p>
    <w:bookmarkStart w:id="34" w:name="fig:003"/>
    <w:p>
      <w:pPr>
        <w:pStyle w:val="CaptionedFigure"/>
      </w:pPr>
      <w:r>
        <w:drawing>
          <wp:inline>
            <wp:extent cx="3733800" cy="1939636"/>
            <wp:effectExtent b="0" l="0" r="0" t="0"/>
            <wp:docPr descr="Рис. 3: Пример условного выражения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Пример условного выражения</w:t>
      </w:r>
    </w:p>
    <w:bookmarkEnd w:id="34"/>
    <w:p>
      <w:pPr>
        <w:pStyle w:val="BodyText"/>
      </w:pPr>
      <w:r>
        <w:t xml:space="preserve">Синтаксис условных выражений с тернарными операторами:</w:t>
      </w:r>
    </w:p>
    <w:p>
      <w:pPr>
        <w:pStyle w:val="SourceCode"/>
      </w:pPr>
      <w:r>
        <w:rPr>
          <w:rStyle w:val="NormalTok"/>
        </w:rPr>
        <w:t xml:space="preserve">a ?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</w:p>
    <w:p>
      <w:pPr>
        <w:pStyle w:val="FirstParagraph"/>
      </w:pPr>
      <w:r>
        <w:t xml:space="preserve">(если выполнено a, то выполнить b, если нет, то c).</w:t>
      </w:r>
      <w:r>
        <w:t xml:space="preserve"> </w:t>
      </w:r>
      <w:r>
        <w:t xml:space="preserve">Такая запись эквивалентна записи условного выражения с ключевым словом: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b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Пример условного выражения с тернарным оператором также рассмотрен выше (рис. 3).</w:t>
      </w:r>
    </w:p>
    <w:bookmarkEnd w:id="35"/>
    <w:bookmarkStart w:id="44" w:name="функции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Функции</w:t>
      </w:r>
    </w:p>
    <w:p>
      <w:pPr>
        <w:pStyle w:val="FirstParagraph"/>
      </w:pPr>
      <w:r>
        <w:t xml:space="preserve">Julia дает нам несколько разных способов написать функцию. Первый требует ключевых слов function и end (рис. 4):</w:t>
      </w:r>
    </w:p>
    <w:bookmarkStart w:id="39" w:name="fig:004"/>
    <w:p>
      <w:pPr>
        <w:pStyle w:val="CaptionedFigure"/>
      </w:pPr>
      <w:r>
        <w:drawing>
          <wp:inline>
            <wp:extent cx="3733800" cy="3714652"/>
            <wp:effectExtent b="0" l="0" r="0" t="0"/>
            <wp:docPr descr="Рис. 4: Пример написания функции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 написания функции</w:t>
      </w:r>
    </w:p>
    <w:bookmarkEnd w:id="39"/>
    <w:p>
      <w:pPr>
        <w:pStyle w:val="BodyText"/>
      </w:pPr>
      <w:r>
        <w:t xml:space="preserve">По соглашению в Julia функции, сопровождаемые восклицательным знаком, изменяют свое содержимое, а функции без восклицательного знака не делают этого.</w:t>
      </w:r>
      <w:r>
        <w:t xml:space="preserve"> </w:t>
      </w:r>
      <w:r>
        <w:t xml:space="preserve">Можно рассмотреть это на примере функции</w:t>
      </w:r>
      <w:r>
        <w:t xml:space="preserve"> </w:t>
      </w:r>
      <w:r>
        <w:rPr>
          <w:rStyle w:val="VerbatimChar"/>
        </w:rPr>
        <w:t xml:space="preserve">sort</w:t>
      </w:r>
      <w:r>
        <w:t xml:space="preserve">(рис. 4).</w:t>
      </w:r>
    </w:p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sort(v)</w:t>
      </w:r>
      <w:r>
        <w:t xml:space="preserve"> </w:t>
      </w:r>
      <w:r>
        <w:t xml:space="preserve">возвращает отсортированный массив, который содержит те же</w:t>
      </w:r>
      <w:r>
        <w:t xml:space="preserve"> </w:t>
      </w:r>
      <w:r>
        <w:t xml:space="preserve">элементы, что и массив v, но исходный массив v остаётся без изменений. Если же использовать</w:t>
      </w:r>
      <w:r>
        <w:t xml:space="preserve"> </w:t>
      </w:r>
      <w:r>
        <w:rPr>
          <w:rStyle w:val="VerbatimChar"/>
        </w:rPr>
        <w:t xml:space="preserve">sort!(v)</w:t>
      </w:r>
      <w:r>
        <w:t xml:space="preserve">, то отсортировано будет содержимое исходного массива v.</w:t>
      </w:r>
    </w:p>
    <w:p>
      <w:pPr>
        <w:pStyle w:val="BodyText"/>
      </w:pPr>
      <w:r>
        <w:t xml:space="preserve">В программировании под функцией высшего порядка понимается функция, принимающая в качестве аргументов другие функции или возвращающая другую функцию в качестве результата. Основная идея состоит в том, что функции имеют тот же статус,что и другие объекты данных.</w:t>
      </w:r>
    </w:p>
    <w:p>
      <w:pPr>
        <w:numPr>
          <w:ilvl w:val="0"/>
          <w:numId w:val="1002"/>
        </w:numPr>
      </w:pPr>
      <w:r>
        <w:t xml:space="preserve">В Julia функция map (рис. 5)является функцией высшего порядка, которая принимает функцию</w:t>
      </w:r>
      <w:r>
        <w:t xml:space="preserve"> </w:t>
      </w:r>
      <w:r>
        <w:t xml:space="preserve">в качестве одного из своих входных аргументов и применяет эту функцию к каждому элементу структуры данных, которая ей передаётся также в качестве аргумента.</w:t>
      </w:r>
    </w:p>
    <w:p>
      <w:pPr>
        <w:numPr>
          <w:ilvl w:val="0"/>
          <w:numId w:val="1002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broadcast</w:t>
      </w:r>
      <w:r>
        <w:t xml:space="preserve"> </w:t>
      </w:r>
      <w:r>
        <w:t xml:space="preserve">(рис. 5) — ещё одна функция высшего порядка в Julia, представляющая собой обобщение функции</w:t>
      </w:r>
      <w:r>
        <w:t xml:space="preserve"> </w:t>
      </w:r>
      <w:r>
        <w:rPr>
          <w:rStyle w:val="VerbatimChar"/>
        </w:rPr>
        <w:t xml:space="preserve">map</w:t>
      </w:r>
      <w:r>
        <w:t xml:space="preserve">. Функция</w:t>
      </w:r>
      <w:r>
        <w:t xml:space="preserve"> </w:t>
      </w:r>
      <w:r>
        <w:rPr>
          <w:rStyle w:val="VerbatimChar"/>
        </w:rPr>
        <w:t xml:space="preserve">broadcast()</w:t>
      </w:r>
      <w:r>
        <w:t xml:space="preserve"> </w:t>
      </w:r>
      <w:r>
        <w:t xml:space="preserve">будет пытаться привести все объекты</w:t>
      </w:r>
      <w:r>
        <w:t xml:space="preserve"> </w:t>
      </w:r>
      <w:r>
        <w:t xml:space="preserve">к общему измерению,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будет напрямую применять данную функцию поэлементно.</w:t>
      </w:r>
    </w:p>
    <w:p>
      <w:pPr>
        <w:numPr>
          <w:ilvl w:val="0"/>
          <w:numId w:val="1002"/>
        </w:numPr>
      </w:pPr>
      <w:r>
        <w:t xml:space="preserve">Точечный синтаксис (рис. 5) для</w:t>
      </w:r>
      <w:r>
        <w:t xml:space="preserve"> </w:t>
      </w:r>
      <w:r>
        <w:rPr>
          <w:rStyle w:val="VerbatimChar"/>
        </w:rPr>
        <w:t xml:space="preserve">broadcast()</w:t>
      </w:r>
      <w:r>
        <w:t xml:space="preserve"> </w:t>
      </w:r>
      <w:r>
        <w:t xml:space="preserve">позволяет записать относительно сложные составные поэлементные выражения в форме, близкой к математической записи.</w:t>
      </w:r>
    </w:p>
    <w:bookmarkStart w:id="43" w:name="fig:005"/>
    <w:p>
      <w:pPr>
        <w:pStyle w:val="CaptionedFigure"/>
      </w:pPr>
      <w:r>
        <w:drawing>
          <wp:inline>
            <wp:extent cx="3733800" cy="4064097"/>
            <wp:effectExtent b="0" l="0" r="0" t="0"/>
            <wp:docPr descr="Рис. 5: Использование функций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Использование функций</w:t>
      </w:r>
    </w:p>
    <w:bookmarkEnd w:id="43"/>
    <w:bookmarkEnd w:id="44"/>
    <w:bookmarkStart w:id="49" w:name="сторонние-библиотеки-пакеты-в-julia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Сторонние библиотеки (пакеты) в Julia</w:t>
      </w:r>
    </w:p>
    <w:p>
      <w:pPr>
        <w:pStyle w:val="FirstParagraph"/>
      </w:pPr>
      <w:r>
        <w:t xml:space="preserve">Julia имеет более 2000 зарегистрированных пакетов, что делает их огромной частью</w:t>
      </w:r>
      <w:r>
        <w:t xml:space="preserve"> </w:t>
      </w:r>
      <w:r>
        <w:t xml:space="preserve">экосистемы Julia. Есть вызовы функций первого класса для других языков, обеспечи-</w:t>
      </w:r>
      <w:r>
        <w:t xml:space="preserve"> </w:t>
      </w:r>
      <w:r>
        <w:t xml:space="preserve">вающие интерфейсы сторонних функций. Можно вызвать функции из Python или R,</w:t>
      </w:r>
      <w:r>
        <w:t xml:space="preserve"> </w:t>
      </w:r>
      <w:r>
        <w:t xml:space="preserve">например, с помощью</w:t>
      </w:r>
      <w:r>
        <w:t xml:space="preserve"> </w:t>
      </w:r>
      <w:r>
        <w:rPr>
          <w:rStyle w:val="VerbatimChar"/>
        </w:rPr>
        <w:t xml:space="preserve">PyCall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Rcall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При первом использовании пакета в текущей установке Julia вам необходимо</w:t>
      </w:r>
      <w:r>
        <w:t xml:space="preserve"> </w:t>
      </w:r>
      <w:r>
        <w:t xml:space="preserve">использовать менеджер пакетов, чтобы явно его добавить (рис. 6).</w:t>
      </w:r>
    </w:p>
    <w:p>
      <w:pPr>
        <w:numPr>
          <w:ilvl w:val="0"/>
          <w:numId w:val="1003"/>
        </w:numPr>
      </w:pPr>
      <w:r>
        <w:t xml:space="preserve">При каждом новом использовании Julia (например, в начале нового сеанса в REPL или открытии блокнота в первый раз) нужно загрузить пакет, используя ключевое слово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(рис. 6).</w:t>
      </w:r>
    </w:p>
    <w:p>
      <w:pPr>
        <w:numPr>
          <w:ilvl w:val="0"/>
          <w:numId w:val="1003"/>
        </w:numPr>
      </w:pPr>
      <w:r>
        <w:t xml:space="preserve">Можно рассмотреть пример с использованием пакета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(рис. 6).</w:t>
      </w:r>
    </w:p>
    <w:bookmarkStart w:id="48" w:name="fig:006"/>
    <w:p>
      <w:pPr>
        <w:pStyle w:val="CaptionedFigure"/>
      </w:pPr>
      <w:r>
        <w:drawing>
          <wp:inline>
            <wp:extent cx="3733800" cy="3316137"/>
            <wp:effectExtent b="0" l="0" r="0" t="0"/>
            <wp:docPr descr="Рис. 6: Установка пакета, его подключение и пример с его использованием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пакета, его подключение и пример с его использованием</w:t>
      </w:r>
    </w:p>
    <w:bookmarkEnd w:id="48"/>
    <w:bookmarkEnd w:id="49"/>
    <w:bookmarkStart w:id="86" w:name="задания-для-самостоятельной-работы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Задания для самостоятельной работы</w:t>
      </w:r>
    </w:p>
    <w:p>
      <w:pPr>
        <w:pStyle w:val="Compact"/>
        <w:numPr>
          <w:ilvl w:val="0"/>
          <w:numId w:val="1004"/>
        </w:numPr>
      </w:pPr>
      <w:r>
        <w:t xml:space="preserve">Используя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(рис. 7):</w:t>
      </w:r>
    </w:p>
    <w:p>
      <w:pPr>
        <w:numPr>
          <w:ilvl w:val="0"/>
          <w:numId w:val="1005"/>
        </w:numPr>
      </w:pPr>
      <w:r>
        <w:t xml:space="preserve">выведите на экран целые числа от 1 до 100 и напечатайте их квадраты;</w:t>
      </w:r>
    </w:p>
    <w:p>
      <w:pPr>
        <w:numPr>
          <w:ilvl w:val="0"/>
          <w:numId w:val="1005"/>
        </w:numPr>
      </w:pPr>
      <w:r>
        <w:t xml:space="preserve">создайте словарь</w:t>
      </w:r>
      <w:r>
        <w:t xml:space="preserve"> </w:t>
      </w:r>
      <w:r>
        <w:rPr>
          <w:rStyle w:val="VerbatimChar"/>
        </w:rPr>
        <w:t xml:space="preserve">squares</w:t>
      </w:r>
      <w:r>
        <w:t xml:space="preserve">, который будет содержать целые числа в качестве ключей и квадраты в качестве их пар-значений;</w:t>
      </w:r>
    </w:p>
    <w:p>
      <w:pPr>
        <w:numPr>
          <w:ilvl w:val="0"/>
          <w:numId w:val="1005"/>
        </w:numPr>
      </w:pPr>
      <w:r>
        <w:t xml:space="preserve">создайте массив</w:t>
      </w:r>
      <w:r>
        <w:t xml:space="preserve"> </w:t>
      </w:r>
      <w:r>
        <w:rPr>
          <w:rStyle w:val="VerbatimChar"/>
        </w:rPr>
        <w:t xml:space="preserve">squares_arr</w:t>
      </w:r>
      <w:r>
        <w:t xml:space="preserve">, содержащий квадраты всех чисел от 1 до 100.</w:t>
      </w:r>
    </w:p>
    <w:bookmarkStart w:id="53" w:name="fig:007"/>
    <w:p>
      <w:pPr>
        <w:pStyle w:val="CaptionedFigure"/>
      </w:pPr>
      <w:r>
        <w:drawing>
          <wp:inline>
            <wp:extent cx="3733800" cy="3316137"/>
            <wp:effectExtent b="0" l="0" r="0" t="0"/>
            <wp:docPr descr="Рис. 7: Задание 1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1</w:t>
      </w:r>
    </w:p>
    <w:bookmarkEnd w:id="53"/>
    <w:bookmarkStart w:id="57" w:name="fig:008"/>
    <w:p>
      <w:pPr>
        <w:pStyle w:val="CaptionedFigure"/>
      </w:pPr>
      <w:r>
        <w:drawing>
          <wp:inline>
            <wp:extent cx="3733800" cy="3316137"/>
            <wp:effectExtent b="0" l="0" r="0" t="0"/>
            <wp:docPr descr="Рис. 8: Задание 1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6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1</w:t>
      </w:r>
    </w:p>
    <w:bookmarkEnd w:id="57"/>
    <w:bookmarkStart w:id="61" w:name="fig:009"/>
    <w:p>
      <w:pPr>
        <w:pStyle w:val="CaptionedFigure"/>
      </w:pPr>
      <w:r>
        <w:drawing>
          <wp:inline>
            <wp:extent cx="3733800" cy="3869849"/>
            <wp:effectExtent b="0" l="0" r="0" t="0"/>
            <wp:docPr descr="Рис. 9: Задание 1, 2 и 3" title="" id="59" name="Picture"/>
            <a:graphic>
              <a:graphicData uri="http://schemas.openxmlformats.org/drawingml/2006/picture">
                <pic:pic>
                  <pic:nvPicPr>
                    <pic:cNvPr descr="image/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69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1, 2 и 3</w:t>
      </w:r>
    </w:p>
    <w:bookmarkEnd w:id="61"/>
    <w:p>
      <w:pPr>
        <w:numPr>
          <w:ilvl w:val="0"/>
          <w:numId w:val="1006"/>
        </w:numPr>
      </w:pPr>
      <w:r>
        <w:t xml:space="preserve">Напишите условный оператор, который печатает число, если число чётное, и строку «нечётное», если число нечётное. Перепишите код, используя тернарный оператор (рис. 9).</w:t>
      </w:r>
    </w:p>
    <w:p>
      <w:pPr>
        <w:numPr>
          <w:ilvl w:val="0"/>
          <w:numId w:val="1006"/>
        </w:numPr>
      </w:pPr>
      <w:r>
        <w:t xml:space="preserve">Напишите функцию</w:t>
      </w:r>
      <w:r>
        <w:t xml:space="preserve"> </w:t>
      </w:r>
      <w:r>
        <w:rPr>
          <w:rStyle w:val="VerbatimChar"/>
        </w:rPr>
        <w:t xml:space="preserve">add_one</w:t>
      </w:r>
      <w:r>
        <w:t xml:space="preserve">, которая добавляет 1 к своему входу (рис. 9).</w:t>
      </w:r>
    </w:p>
    <w:p>
      <w:pPr>
        <w:numPr>
          <w:ilvl w:val="0"/>
          <w:numId w:val="1006"/>
        </w:numPr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broadcast()</w:t>
      </w:r>
      <w:r>
        <w:t xml:space="preserve"> </w:t>
      </w:r>
      <w:r>
        <w:t xml:space="preserve">для задания матрицы A, каждый элемент которой увеличивается на единицу по сравнению с предыдущим (рис. 10).</w:t>
      </w:r>
    </w:p>
    <w:bookmarkStart w:id="65" w:name="fig:010"/>
    <w:p>
      <w:pPr>
        <w:pStyle w:val="CaptionedFigure"/>
      </w:pPr>
      <w:r>
        <w:drawing>
          <wp:inline>
            <wp:extent cx="3733800" cy="2936340"/>
            <wp:effectExtent b="0" l="0" r="0" t="0"/>
            <wp:docPr descr="Рис. 10: Задание 4, 5 и 6" title="" id="63" name="Picture"/>
            <a:graphic>
              <a:graphicData uri="http://schemas.openxmlformats.org/drawingml/2006/picture">
                <pic:pic>
                  <pic:nvPicPr>
                    <pic:cNvPr descr="image/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6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4, 5 и 6</w:t>
      </w:r>
    </w:p>
    <w:bookmarkEnd w:id="65"/>
    <w:p>
      <w:pPr>
        <w:pStyle w:val="Compact"/>
        <w:numPr>
          <w:ilvl w:val="0"/>
          <w:numId w:val="1007"/>
        </w:numPr>
      </w:pPr>
      <w:r>
        <w:t xml:space="preserve">Задайте матрицу А и выполните (рис. 10):</w:t>
      </w:r>
    </w:p>
    <w:p>
      <w:pPr>
        <w:numPr>
          <w:ilvl w:val="0"/>
          <w:numId w:val="1008"/>
        </w:numPr>
      </w:pPr>
      <w:r>
        <w:t xml:space="preserve">Возведите матрицу в третью степень.</w:t>
      </w:r>
    </w:p>
    <w:p>
      <w:pPr>
        <w:numPr>
          <w:ilvl w:val="0"/>
          <w:numId w:val="1008"/>
        </w:numPr>
      </w:pPr>
      <w:r>
        <w:t xml:space="preserve">Замените третий столбец матрицы А на сумму второго и третьего столбцов.</w:t>
      </w:r>
    </w:p>
    <w:p>
      <w:pPr>
        <w:numPr>
          <w:ilvl w:val="0"/>
          <w:numId w:val="1009"/>
        </w:numPr>
      </w:pPr>
      <w:r>
        <w:t xml:space="preserve">Создайте матрицу B с элементами. Вычислите матрицу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r>
          <m:t>B</m:t>
        </m:r>
      </m:oMath>
      <w:r>
        <w:t xml:space="preserve"> </w:t>
      </w:r>
      <w:r>
        <w:t xml:space="preserve">(рис. 10).</w:t>
      </w:r>
    </w:p>
    <w:p>
      <w:pPr>
        <w:numPr>
          <w:ilvl w:val="0"/>
          <w:numId w:val="1009"/>
        </w:numPr>
      </w:pPr>
      <w:r>
        <w:t xml:space="preserve">Создайте матрицу Z размерности 6 x 6, все элементы которой равны нулю, и матрицу E, все элементы которой равны 1. Используя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 закономерности расположения элементов, создайте следующие матрицы размерности 6 x 6 (рис. 11).</w:t>
      </w:r>
    </w:p>
    <w:bookmarkStart w:id="69" w:name="fig:011"/>
    <w:p>
      <w:pPr>
        <w:pStyle w:val="CaptionedFigure"/>
      </w:pPr>
      <w:r>
        <w:drawing>
          <wp:inline>
            <wp:extent cx="3733800" cy="5159324"/>
            <wp:effectExtent b="0" l="0" r="0" t="0"/>
            <wp:docPr descr="Рис. 11: Задание 7" title="" id="67" name="Picture"/>
            <a:graphic>
              <a:graphicData uri="http://schemas.openxmlformats.org/drawingml/2006/picture">
                <pic:pic>
                  <pic:nvPicPr>
                    <pic:cNvPr descr="image/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7</w:t>
      </w:r>
    </w:p>
    <w:bookmarkEnd w:id="69"/>
    <w:bookmarkStart w:id="73" w:name="fig:012"/>
    <w:p>
      <w:pPr>
        <w:pStyle w:val="CaptionedFigure"/>
      </w:pPr>
      <w:r>
        <w:drawing>
          <wp:inline>
            <wp:extent cx="3733800" cy="2961509"/>
            <wp:effectExtent b="0" l="0" r="0" t="0"/>
            <wp:docPr descr="Рис. 12: Задание 7" title="" id="71" name="Picture"/>
            <a:graphic>
              <a:graphicData uri="http://schemas.openxmlformats.org/drawingml/2006/picture">
                <pic:pic>
                  <pic:nvPicPr>
                    <pic:cNvPr descr="image/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1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7</w:t>
      </w:r>
    </w:p>
    <w:bookmarkEnd w:id="73"/>
    <w:p>
      <w:pPr>
        <w:pStyle w:val="Compact"/>
        <w:numPr>
          <w:ilvl w:val="0"/>
          <w:numId w:val="1010"/>
        </w:numPr>
      </w:pPr>
      <w:r>
        <w:t xml:space="preserve">В языке R есть функция</w:t>
      </w:r>
      <w:r>
        <w:t xml:space="preserve"> </w:t>
      </w:r>
      <w:r>
        <w:rPr>
          <w:rStyle w:val="VerbatimChar"/>
        </w:rPr>
        <w:t xml:space="preserve">outer()</w:t>
      </w:r>
      <w:r>
        <w:t xml:space="preserve">. Фактически, это матричное умножение с возможностью изменить применяемую операцию (например, заменить произведение на сложение или возведение в степень)/ Напишите эту функцию. (рис. 13).</w:t>
      </w:r>
    </w:p>
    <w:bookmarkStart w:id="77" w:name="fig:013"/>
    <w:p>
      <w:pPr>
        <w:pStyle w:val="CaptionedFigure"/>
      </w:pPr>
      <w:r>
        <w:drawing>
          <wp:inline>
            <wp:extent cx="3733800" cy="7338161"/>
            <wp:effectExtent b="0" l="0" r="0" t="0"/>
            <wp:docPr descr="Рис. 13: Задание 8" title="" id="75" name="Picture"/>
            <a:graphic>
              <a:graphicData uri="http://schemas.openxmlformats.org/drawingml/2006/picture">
                <pic:pic>
                  <pic:nvPicPr>
                    <pic:cNvPr descr="image/13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38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8</w:t>
      </w:r>
    </w:p>
    <w:bookmarkEnd w:id="77"/>
    <w:p>
      <w:pPr>
        <w:pStyle w:val="Compact"/>
        <w:numPr>
          <w:ilvl w:val="0"/>
          <w:numId w:val="1011"/>
        </w:numPr>
      </w:pPr>
      <w:r>
        <w:t xml:space="preserve">Решите следующую систему линейных уравнений с 5 неизвестными (рис. 14):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5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5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17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рассмотрев соответствующее матричное уравнение Ax = y. Обратите внимание на особый вид матрицы A. Метод, используемый для решения данной системы уравнений, должен быть легко обобщаем на случай большего числа уравнений, где матрица A будет иметь такую же структуру.</w:t>
      </w:r>
    </w:p>
    <w:bookmarkStart w:id="81" w:name="fig:014"/>
    <w:p>
      <w:pPr>
        <w:pStyle w:val="CaptionedFigure"/>
      </w:pPr>
      <w:r>
        <w:drawing>
          <wp:inline>
            <wp:extent cx="3733800" cy="1881646"/>
            <wp:effectExtent b="0" l="0" r="0" t="0"/>
            <wp:docPr descr="Рис. 14: Задание 9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9</w:t>
      </w:r>
    </w:p>
    <w:bookmarkEnd w:id="81"/>
    <w:p>
      <w:pPr>
        <w:numPr>
          <w:ilvl w:val="0"/>
          <w:numId w:val="1012"/>
        </w:numPr>
      </w:pPr>
      <w:r>
        <w:t xml:space="preserve">Создайте матрицу M размерности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10</m:t>
        </m:r>
      </m:oMath>
      <w:r>
        <w:t xml:space="preserve">, элементами которой являются целые числа (рис. 15).</w:t>
      </w:r>
    </w:p>
    <w:p>
      <w:pPr>
        <w:numPr>
          <w:ilvl w:val="0"/>
          <w:numId w:val="1012"/>
        </w:numPr>
      </w:pPr>
      <w:r>
        <w:t xml:space="preserve">Вычислите (рис. 15):</w:t>
      </w:r>
    </w:p>
    <w:bookmarkStart w:id="85" w:name="fig:015"/>
    <w:p>
      <w:pPr>
        <w:pStyle w:val="CaptionedFigure"/>
      </w:pPr>
      <w:r>
        <w:drawing>
          <wp:inline>
            <wp:extent cx="3733800" cy="2935004"/>
            <wp:effectExtent b="0" l="0" r="0" t="0"/>
            <wp:docPr descr="Рис. 15: Задание 10 и 11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5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10 и 11</w:t>
      </w:r>
    </w:p>
    <w:bookmarkEnd w:id="85"/>
    <w:bookmarkEnd w:id="86"/>
    <w:bookmarkEnd w:id="87"/>
    <w:bookmarkStart w:id="8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освоила применение циклов функций и сторонних для Julia</w:t>
      </w:r>
      <w:r>
        <w:t xml:space="preserve"> </w:t>
      </w:r>
      <w:r>
        <w:t xml:space="preserve">пакетов для решения задач линейной алгебры и работы с матрицами.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Управляющие структуры</dc:title>
  <dc:creator>Абакумова Олеся Максимовна, НФИбд-02-22</dc:creator>
  <dc:language>ru-RU</dc:language>
  <cp:keywords/>
  <dcterms:created xsi:type="dcterms:W3CDTF">2025-10-11T18:44:32Z</dcterms:created>
  <dcterms:modified xsi:type="dcterms:W3CDTF">2025-10-11T18:44:32Z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