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6.png" ContentType="image/png"/>
  <Override PartName="/word/media/rId101.png" ContentType="image/png"/>
  <Override PartName="/word/media/rId105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1. Julia. Установка и настройка. Основные принципы.</w:t>
      </w:r>
    </w:p>
    <w:p>
      <w:pPr>
        <w:pStyle w:val="Author"/>
      </w:pPr>
      <w:r>
        <w:t xml:space="preserve">Абакумова Олеся Максимовна,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Основная цель работы – подготовить рабочее пространство и инструментарий для</w:t>
      </w:r>
      <w:r>
        <w:t xml:space="preserve"> </w:t>
      </w:r>
      <w:r>
        <w:t xml:space="preserve">работы с языком программирования Julia, на простейших примерах познакомиться</w:t>
      </w:r>
      <w:r>
        <w:t xml:space="preserve"> </w:t>
      </w:r>
      <w:r>
        <w:t xml:space="preserve">с основами синтаксиса Julia.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Установите под свою операционную систему Julia, Jupyter.</w:t>
      </w:r>
    </w:p>
    <w:p>
      <w:pPr>
        <w:numPr>
          <w:ilvl w:val="0"/>
          <w:numId w:val="1001"/>
        </w:numPr>
      </w:pPr>
      <w:r>
        <w:t xml:space="preserve">Используя Jupyter Lab, повторите примеры из разделов.</w:t>
      </w:r>
    </w:p>
    <w:p>
      <w:pPr>
        <w:numPr>
          <w:ilvl w:val="0"/>
          <w:numId w:val="1001"/>
        </w:numPr>
      </w:pPr>
      <w:r>
        <w:t xml:space="preserve">Выполните задания для самостоятельной работы.</w:t>
      </w:r>
    </w:p>
    <w:bookmarkEnd w:id="21"/>
    <w:bookmarkStart w:id="11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подготовка-инструментария-к-работ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Подготовка инструментария к работе</w:t>
      </w:r>
    </w:p>
    <w:p>
      <w:pPr>
        <w:pStyle w:val="FirstParagraph"/>
      </w:pPr>
      <w:r>
        <w:t xml:space="preserve">Для выполнения данной лабораторной работы нам необходимы Julia и Jupyter. Так, как они установлены у меня уже изначально, то могу продемонстрировать их наличие на моей ОС (рис. 1):</w:t>
      </w:r>
    </w:p>
    <w:bookmarkStart w:id="25" w:name="fig:001"/>
    <w:p>
      <w:pPr>
        <w:pStyle w:val="CaptionedFigure"/>
      </w:pPr>
      <w:r>
        <w:drawing>
          <wp:inline>
            <wp:extent cx="3733800" cy="1163367"/>
            <wp:effectExtent b="0" l="0" r="0" t="0"/>
            <wp:docPr descr="Рис. 1: Запуск Julia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3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Julia</w:t>
      </w:r>
    </w:p>
    <w:bookmarkEnd w:id="25"/>
    <w:bookmarkStart w:id="29" w:name="fig:002"/>
    <w:p>
      <w:pPr>
        <w:pStyle w:val="CaptionedFigure"/>
      </w:pPr>
      <w:r>
        <w:drawing>
          <wp:inline>
            <wp:extent cx="3733800" cy="1643683"/>
            <wp:effectExtent b="0" l="0" r="0" t="0"/>
            <wp:docPr descr="Рис. 2: Запуск Jupyter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3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Jupyter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2439756"/>
            <wp:effectExtent b="0" l="0" r="0" t="0"/>
            <wp:docPr descr="Рис. 3: Запуск Jupyter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Jupyter</w:t>
      </w:r>
    </w:p>
    <w:bookmarkEnd w:id="33"/>
    <w:p>
      <w:pPr>
        <w:pStyle w:val="BodyText"/>
      </w:pPr>
      <w:r>
        <w:t xml:space="preserve">Зайдя в Jupyter Notebook, создадим блокнот для работы с Julia (рис. 4):</w:t>
      </w:r>
    </w:p>
    <w:bookmarkStart w:id="37" w:name="fig:004"/>
    <w:p>
      <w:pPr>
        <w:pStyle w:val="CaptionedFigure"/>
      </w:pPr>
      <w:r>
        <w:drawing>
          <wp:inline>
            <wp:extent cx="3733800" cy="1733415"/>
            <wp:effectExtent b="0" l="0" r="0" t="0"/>
            <wp:docPr descr="Рис. 4: Создание нового блокнота для Julia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нового блокнота для Julia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1733415"/>
            <wp:effectExtent b="0" l="0" r="0" t="0"/>
            <wp:docPr descr="Рис. 5: Блокнот имеет ядро Julia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Блокнот имеет ядро Julia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1733415"/>
            <wp:effectExtent b="0" l="0" r="0" t="0"/>
            <wp:docPr descr="Рис. 6: Режимы вставки ячейки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Режимы вставки ячейки</w:t>
      </w:r>
    </w:p>
    <w:bookmarkEnd w:id="45"/>
    <w:bookmarkEnd w:id="46"/>
    <w:bookmarkStart w:id="63" w:name="основы-работы-в-блокноте-jupyte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Основы работы в блокноте Jupyter</w:t>
      </w:r>
    </w:p>
    <w:p>
      <w:pPr>
        <w:pStyle w:val="FirstParagraph"/>
      </w:pPr>
      <w:r>
        <w:t xml:space="preserve">Каждый блокнот (или консоль, или терминал, или текстовый редактор) располагается</w:t>
      </w:r>
      <w:r>
        <w:t xml:space="preserve"> </w:t>
      </w:r>
      <w:r>
        <w:t xml:space="preserve">в своей вкладке в основной рабочей области. Для создания нового блокнота выбирается в меню File (рис. 4) , далее указывается, что именно мы хотим создать. Для открытия существующего файла используютс стандартные пункты меню и навигатор. Каждый файл-блокнот представляет собой текстовый файл в формате</w:t>
      </w:r>
      <w:r>
        <w:t xml:space="preserve"> </w:t>
      </w:r>
      <w:r>
        <w:t xml:space="preserve">JSON с описанием всего содержимого блокнота. Обычно файл имеет расширение .ipynb или .ipyn.</w:t>
      </w:r>
      <w:r>
        <w:t xml:space="preserve"> </w:t>
      </w:r>
      <w:r>
        <w:t xml:space="preserve">Основная концепция интерактивных блокнотов — это ячейка, содержащая отдельный</w:t>
      </w:r>
      <w:r>
        <w:t xml:space="preserve"> </w:t>
      </w:r>
      <w:r>
        <w:t xml:space="preserve">фрагмент текста (или кода). Для написания текста в ячейке нужно в панели инструментов указать Markdown, для написания элемента кода – Code (рис. 6). Для изменения режимов</w:t>
      </w:r>
      <w:r>
        <w:t xml:space="preserve"> </w:t>
      </w:r>
      <w:r>
        <w:t xml:space="preserve">вставки ячеек можно использовать также комбинации клавиш. Для этого нужно на активной ячейке нажать</w:t>
      </w:r>
      <w:r>
        <w:t xml:space="preserve"> </w:t>
      </w:r>
      <w:r>
        <w:rPr>
          <w:b/>
          <w:bCs/>
        </w:rPr>
        <w:t xml:space="preserve">ESC</w:t>
      </w:r>
      <w:r>
        <w:t xml:space="preserve"> </w:t>
      </w:r>
      <w:r>
        <w:t xml:space="preserve">, что выведет ячейку из режима редактирования и переведёт</w:t>
      </w:r>
      <w:r>
        <w:t xml:space="preserve"> </w:t>
      </w:r>
      <w:r>
        <w:t xml:space="preserve">её в командный режим, в котором есть специальные сочетания клавиш для вставки/вырезания/изменения ячеек: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</w:t>
      </w:r>
      <w:r>
        <w:t xml:space="preserve"> </w:t>
      </w:r>
      <w:r>
        <w:t xml:space="preserve">или</w:t>
      </w:r>
      <w:r>
        <w:t xml:space="preserve"> </w:t>
      </w:r>
      <w:r>
        <w:rPr>
          <w:b/>
          <w:bCs/>
        </w:rPr>
        <w:t xml:space="preserve">b</w:t>
      </w:r>
      <w:r>
        <w:t xml:space="preserve"> </w:t>
      </w:r>
      <w:r>
        <w:t xml:space="preserve">– создать новую ячейку соответственно выше или ниже текущей;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x</w:t>
      </w:r>
      <w:r>
        <w:t xml:space="preserve"> </w:t>
      </w:r>
      <w:r>
        <w:t xml:space="preserve">– удалить ячейку;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z</w:t>
      </w:r>
      <w:r>
        <w:t xml:space="preserve"> </w:t>
      </w:r>
      <w:r>
        <w:t xml:space="preserve">– отмена удаления ячейки;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– перевести ячейку в режим текста;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y</w:t>
      </w:r>
      <w:r>
        <w:t xml:space="preserve"> </w:t>
      </w:r>
      <w:r>
        <w:t xml:space="preserve">– перевести ячейку в режим набора кода.</w:t>
      </w:r>
    </w:p>
    <w:p>
      <w:pPr>
        <w:pStyle w:val="FirstParagraph"/>
      </w:pPr>
      <w:r>
        <w:t xml:space="preserve">Для выполнения кода внутри ячейки выберите эту ячейку и нажмимается</w:t>
      </w:r>
      <w:r>
        <w:t xml:space="preserve"> </w:t>
      </w:r>
      <w:r>
        <w:rPr>
          <w:b/>
          <w:bCs/>
        </w:rPr>
        <w:t xml:space="preserve">Shift + Enter</w:t>
      </w:r>
      <w:r>
        <w:t xml:space="preserve"> </w:t>
      </w:r>
      <w:r>
        <w:t xml:space="preserve">или</w:t>
      </w:r>
      <w:r>
        <w:t xml:space="preserve"> </w:t>
      </w:r>
      <w:r>
        <w:t xml:space="preserve">кнопку со значком</w:t>
      </w:r>
      <w:r>
        <w:t xml:space="preserve"> </w:t>
      </w:r>
      <w:r>
        <w:rPr>
          <w:b/>
          <w:bCs/>
        </w:rPr>
        <w:t xml:space="preserve">Run</w:t>
      </w:r>
      <w:r>
        <w:t xml:space="preserve"> </w:t>
      </w:r>
      <w:r>
        <w:t xml:space="preserve">на панели инструментов. Если ячейка содержит несколько строк</w:t>
      </w:r>
      <w:r>
        <w:t xml:space="preserve"> </w:t>
      </w:r>
      <w:r>
        <w:t xml:space="preserve">кода, то при выполнении этой ячейки отобразится только результат последней строки</w:t>
      </w:r>
      <w:r>
        <w:t xml:space="preserve"> </w:t>
      </w:r>
      <w:r>
        <w:t xml:space="preserve">(операции). Вывод результата можно подавить, завершив строку знаком «точка с запятой».</w:t>
      </w:r>
    </w:p>
    <w:p>
      <w:pPr>
        <w:pStyle w:val="BodyText"/>
      </w:pPr>
      <w:r>
        <w:t xml:space="preserve">Выполним примеры кода простейшей операцией сложения в блокноте Jupyter (рис. 7):</w:t>
      </w:r>
    </w:p>
    <w:bookmarkStart w:id="50" w:name="fig:007"/>
    <w:p>
      <w:pPr>
        <w:pStyle w:val="CaptionedFigure"/>
      </w:pPr>
      <w:r>
        <w:drawing>
          <wp:inline>
            <wp:extent cx="3733800" cy="1307690"/>
            <wp:effectExtent b="0" l="0" r="0" t="0"/>
            <wp:docPr descr="Рис. 7: Простейшие операции на языке Julia в Jupyter Lab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7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Простейшие операции на языке Julia в Jupyter Lab</w:t>
      </w:r>
    </w:p>
    <w:bookmarkEnd w:id="50"/>
    <w:p>
      <w:pPr>
        <w:pStyle w:val="BodyText"/>
      </w:pPr>
      <w:r>
        <w:t xml:space="preserve">Если необходимо получить информацию по работе с какой-то незнакомой для вас</w:t>
      </w:r>
      <w:r>
        <w:t xml:space="preserve"> </w:t>
      </w:r>
      <w:r>
        <w:t xml:space="preserve">функцией Julia, то можно поставить в ячейке перед названием этой функции знак</w:t>
      </w:r>
      <w:r>
        <w:t xml:space="preserve"> </w:t>
      </w:r>
      <w:r>
        <w:t xml:space="preserve">вопроса (рис. 8):</w:t>
      </w:r>
    </w:p>
    <w:bookmarkStart w:id="54" w:name="fig:008"/>
    <w:p>
      <w:pPr>
        <w:pStyle w:val="CaptionedFigure"/>
      </w:pPr>
      <w:r>
        <w:drawing>
          <wp:inline>
            <wp:extent cx="3733800" cy="1484785"/>
            <wp:effectExtent b="0" l="0" r="0" t="0"/>
            <wp:docPr descr="Рис. 8: Пример получения информации по функции println на языке Julia в Jupyter Lab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4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Пример получения информации по функции println на языке Julia в Jupyter Lab</w:t>
      </w:r>
    </w:p>
    <w:bookmarkEnd w:id="54"/>
    <w:p>
      <w:pPr>
        <w:pStyle w:val="BodyText"/>
      </w:pPr>
      <w:r>
        <w:t xml:space="preserve">Если требуется использовать команды из командной оболочки операционной</w:t>
      </w:r>
      <w:r>
        <w:t xml:space="preserve"> </w:t>
      </w:r>
      <w:r>
        <w:t xml:space="preserve">системы, то перед соответствующей командой нужно поставить знак «точка с запятой».</w:t>
      </w:r>
      <w:r>
        <w:t xml:space="preserve"> </w:t>
      </w:r>
      <w:r>
        <w:t xml:space="preserve">Например, для пользователей ОС Linux можно вывести текущую дату и имя пользователя,</w:t>
      </w:r>
      <w:r>
        <w:t xml:space="preserve"> </w:t>
      </w:r>
      <w:r>
        <w:t xml:space="preserve">используя последовательно команды date и whoami. Для пользователей других</w:t>
      </w:r>
      <w:r>
        <w:t xml:space="preserve"> </w:t>
      </w:r>
      <w:r>
        <w:t xml:space="preserve">ОС следует использовать команды оболочки соответствующей операционной системы (рис. 9):</w:t>
      </w:r>
    </w:p>
    <w:bookmarkStart w:id="58" w:name="fig:009"/>
    <w:p>
      <w:pPr>
        <w:pStyle w:val="CaptionedFigure"/>
      </w:pPr>
      <w:r>
        <w:drawing>
          <wp:inline>
            <wp:extent cx="3733800" cy="1146089"/>
            <wp:effectExtent b="0" l="0" r="0" t="0"/>
            <wp:docPr descr="Рис. 9: Пример получения информации о дате и пользователе ОС Linux в Jupyter Lab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6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Пример получения информации о дате и пользователе ОС Linux в Jupyter Lab</w:t>
      </w:r>
    </w:p>
    <w:bookmarkEnd w:id="58"/>
    <w:p>
      <w:pPr>
        <w:pStyle w:val="BodyText"/>
      </w:pPr>
      <w:r>
        <w:t xml:space="preserve">Для очистки результатов выполнения ячеек следует использовать меню</w:t>
      </w:r>
      <w:r>
        <w:t xml:space="preserve"> </w:t>
      </w:r>
      <w:r>
        <w:rPr>
          <w:b/>
          <w:bCs/>
        </w:rPr>
        <w:t xml:space="preserve">Edit</w:t>
      </w:r>
      <w:r>
        <w:t xml:space="preserve">(рис. 10):</w:t>
      </w:r>
    </w:p>
    <w:bookmarkStart w:id="62" w:name="fig:010"/>
    <w:p>
      <w:pPr>
        <w:pStyle w:val="CaptionedFigure"/>
      </w:pPr>
      <w:r>
        <w:drawing>
          <wp:inline>
            <wp:extent cx="3733800" cy="5863379"/>
            <wp:effectExtent b="0" l="0" r="0" t="0"/>
            <wp:docPr descr="Рис. 10: Очистка результатов выполнения ячеек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63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Очистка результатов выполнения ячеек</w:t>
      </w:r>
    </w:p>
    <w:bookmarkEnd w:id="62"/>
    <w:bookmarkEnd w:id="63"/>
    <w:bookmarkStart w:id="84" w:name="основы-синтаксиса-julia-на-примерах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Основы синтаксиса Julia на примерах</w:t>
      </w:r>
    </w:p>
    <w:p>
      <w:pPr>
        <w:pStyle w:val="FirstParagraph"/>
      </w:pPr>
      <w:r>
        <w:t xml:space="preserve">Далее приведены простейшие примеры с использованием синтаксиса Julia, выполненные в блокноте Jupyter Lab.</w:t>
      </w:r>
      <w:r>
        <w:t xml:space="preserve"> </w:t>
      </w:r>
      <w:r>
        <w:t xml:space="preserve">Определение типа числовой величины можно реализовать с помощью команды</w:t>
      </w:r>
      <w:r>
        <w:t xml:space="preserve"> </w:t>
      </w:r>
      <w:r>
        <w:rPr>
          <w:b/>
          <w:bCs/>
        </w:rPr>
        <w:t xml:space="preserve">typeof(Number)</w:t>
      </w:r>
      <w:r>
        <w:t xml:space="preserve"> </w:t>
      </w:r>
      <w:r>
        <w:t xml:space="preserve">(рис. 11).</w:t>
      </w:r>
      <w:r>
        <w:t xml:space="preserve"> </w:t>
      </w:r>
      <w:r>
        <w:t xml:space="preserve">Здесь Number – конкретное число, например,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3.5</m:t>
        </m:r>
      </m:oMath>
      <w:r>
        <w:t xml:space="preserve">, или числовой результат какой-либо операции, например,</w:t>
      </w:r>
      <m:oMath>
        <m:r>
          <m:t>3</m:t>
        </m:r>
        <m:r>
          <m:rPr>
            <m:sty m:val="p"/>
          </m:rPr>
          <m:t>/</m:t>
        </m:r>
        <m:r>
          <m:t>3.5</m:t>
        </m:r>
      </m:oMath>
      <w:r>
        <w:t xml:space="preserve">,</w:t>
      </w:r>
      <w:r>
        <w:t xml:space="preserve"> </w:t>
      </w:r>
      <m:oMath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t>𝑖</m:t>
            </m:r>
          </m:e>
        </m:rad>
      </m:oMath>
      <w:r>
        <w:t xml:space="preserve">, значение числа</w:t>
      </w:r>
      <w:r>
        <w:t xml:space="preserve"> </w:t>
      </w:r>
      <m:oMath>
        <m:r>
          <m:t>π</m:t>
        </m:r>
      </m:oMath>
      <w:r>
        <w:t xml:space="preserve">.</w:t>
      </w:r>
      <w:r>
        <w:t xml:space="preserve"> </w:t>
      </w:r>
      <w:r>
        <w:t xml:space="preserve">В Julia введены специальные значения</w:t>
      </w:r>
      <w:r>
        <w:t xml:space="preserve"> </w:t>
      </w:r>
      <w:r>
        <w:rPr>
          <w:b/>
          <w:bCs/>
        </w:rPr>
        <w:t xml:space="preserve">Inf</w:t>
      </w:r>
      <w:r>
        <w:t xml:space="preserve">,</w:t>
      </w:r>
      <w:r>
        <w:t xml:space="preserve"> </w:t>
      </w:r>
      <w:r>
        <w:rPr>
          <w:b/>
          <w:bCs/>
        </w:rPr>
        <w:t xml:space="preserve">-Inf</w:t>
      </w:r>
      <w:r>
        <w:t xml:space="preserve">,</w:t>
      </w:r>
      <w:r>
        <w:t xml:space="preserve"> </w:t>
      </w:r>
      <w:r>
        <w:rPr>
          <w:b/>
          <w:bCs/>
        </w:rPr>
        <w:t xml:space="preserve">NaN</w:t>
      </w:r>
      <w:r>
        <w:t xml:space="preserve">, обозначающие бесконечность</w:t>
      </w:r>
      <w:r>
        <w:t xml:space="preserve"> </w:t>
      </w:r>
      <w:r>
        <w:t xml:space="preserve">и отсутствие какого-либо значения. Такие значения могут получаться в результате операций типа деления на ноль, а также могут быть допустимой частью выражений, поскольку в языке имеют тип вещественного числа.</w:t>
      </w:r>
      <w:r>
        <w:t xml:space="preserve"> </w:t>
      </w:r>
      <w:r>
        <w:t xml:space="preserve">Для определения крайних значений диапазонов целочисленных числовых величин</w:t>
      </w:r>
      <w:r>
        <w:t xml:space="preserve"> </w:t>
      </w:r>
      <w:r>
        <w:t xml:space="preserve">можно воспользоваться следующим кодом (рис. 11):</w:t>
      </w:r>
    </w:p>
    <w:bookmarkStart w:id="67" w:name="fig:011"/>
    <w:p>
      <w:pPr>
        <w:pStyle w:val="CaptionedFigure"/>
      </w:pPr>
      <w:r>
        <w:drawing>
          <wp:inline>
            <wp:extent cx="3733800" cy="1323324"/>
            <wp:effectExtent b="0" l="0" r="0" t="0"/>
            <wp:docPr descr="Рис. 11: Определение крайних значений диапазонов целочисленных числовых величин и определение типа числовой величины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3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Определение крайних значений диапазонов целочисленных числовых величин и определение типа числовой величины</w:t>
      </w:r>
    </w:p>
    <w:bookmarkEnd w:id="67"/>
    <w:p>
      <w:pPr>
        <w:pStyle w:val="BodyText"/>
      </w:pPr>
      <w:r>
        <w:t xml:space="preserve">В результате получим минимальные и максимальные значения целочисленных типов.</w:t>
      </w:r>
    </w:p>
    <w:p>
      <w:pPr>
        <w:pStyle w:val="BodyText"/>
      </w:pPr>
      <w:r>
        <w:t xml:space="preserve">В Julia преобразование типов можно реализовать или прямым указанием, например</w:t>
      </w:r>
      <w:r>
        <w:t xml:space="preserve"> </w:t>
      </w:r>
      <w:r>
        <w:t xml:space="preserve">вещественное число 2.0 преобразовать в целое, а число 2 в символ:</w:t>
      </w:r>
      <w:r>
        <w:t xml:space="preserve"> </w:t>
      </w:r>
      <w:r>
        <w:rPr>
          <w:b/>
          <w:bCs/>
        </w:rPr>
        <w:t xml:space="preserve">Int64(2.0)</w:t>
      </w:r>
      <w:r>
        <w:t xml:space="preserve">,</w:t>
      </w:r>
      <w:r>
        <w:t xml:space="preserve"> </w:t>
      </w:r>
      <w:r>
        <w:rPr>
          <w:b/>
          <w:bCs/>
        </w:rPr>
        <w:t xml:space="preserve">Char(2)</w:t>
      </w:r>
      <w:r>
        <w:t xml:space="preserve"> </w:t>
      </w:r>
      <w:r>
        <w:t xml:space="preserve">или использовать обобщённый оператор преобразования типов</w:t>
      </w:r>
      <w:r>
        <w:t xml:space="preserve"> </w:t>
      </w:r>
      <w:r>
        <w:rPr>
          <w:b/>
          <w:bCs/>
        </w:rPr>
        <w:t xml:space="preserve">convert()</w:t>
      </w:r>
      <w:r>
        <w:t xml:space="preserve">, например:</w:t>
      </w:r>
      <w:r>
        <w:t xml:space="preserve"> </w:t>
      </w:r>
      <w:r>
        <w:rPr>
          <w:b/>
          <w:bCs/>
        </w:rPr>
        <w:t xml:space="preserve">convert(Int64, 2.0)</w:t>
      </w:r>
      <w:r>
        <w:t xml:space="preserve">,</w:t>
      </w:r>
      <w:r>
        <w:t xml:space="preserve"> </w:t>
      </w:r>
      <w:r>
        <w:rPr>
          <w:b/>
          <w:bCs/>
        </w:rPr>
        <w:t xml:space="preserve">convert(Char,2)</w:t>
      </w:r>
      <w:r>
        <w:t xml:space="preserve"> </w:t>
      </w:r>
      <w:r>
        <w:t xml:space="preserve">Преобразование 1 в булевое</w:t>
      </w:r>
      <w:r>
        <w:t xml:space="preserve"> </w:t>
      </w:r>
      <w:r>
        <w:rPr>
          <w:b/>
          <w:bCs/>
        </w:rPr>
        <w:t xml:space="preserve">true</w:t>
      </w:r>
      <w:r>
        <w:t xml:space="preserve">, 0 – в булевое</w:t>
      </w:r>
      <w:r>
        <w:t xml:space="preserve"> </w:t>
      </w:r>
      <w:r>
        <w:rPr>
          <w:b/>
          <w:bCs/>
        </w:rPr>
        <w:t xml:space="preserve">false</w:t>
      </w:r>
      <w:r>
        <w:t xml:space="preserve">:</w:t>
      </w:r>
      <w:r>
        <w:t xml:space="preserve"> </w:t>
      </w:r>
      <w:r>
        <w:rPr>
          <w:b/>
          <w:bCs/>
        </w:rPr>
        <w:t xml:space="preserve">Bool(1)</w:t>
      </w:r>
      <w:r>
        <w:t xml:space="preserve">,</w:t>
      </w:r>
      <w:r>
        <w:t xml:space="preserve"> </w:t>
      </w:r>
      <w:r>
        <w:rPr>
          <w:b/>
          <w:bCs/>
        </w:rPr>
        <w:t xml:space="preserve">Bool(0)</w:t>
      </w:r>
      <w:r>
        <w:t xml:space="preserve">.</w:t>
      </w:r>
      <w:r>
        <w:t xml:space="preserve"> </w:t>
      </w:r>
      <w:r>
        <w:t xml:space="preserve">Для приведения нескольких аргументов к одному типу, если это возможно, используется оператор</w:t>
      </w:r>
      <w:r>
        <w:t xml:space="preserve"> </w:t>
      </w:r>
      <w:r>
        <w:rPr>
          <w:b/>
          <w:bCs/>
        </w:rPr>
        <w:t xml:space="preserve">promote()</w:t>
      </w:r>
      <w:r>
        <w:t xml:space="preserve">, например:</w:t>
      </w:r>
      <w:r>
        <w:t xml:space="preserve"> </w:t>
      </w:r>
      <w:r>
        <w:rPr>
          <w:b/>
          <w:bCs/>
        </w:rPr>
        <w:t xml:space="preserve">promote(Int8(1)</w:t>
      </w:r>
      <w:r>
        <w:t xml:space="preserve">,</w:t>
      </w:r>
      <w:r>
        <w:t xml:space="preserve"> </w:t>
      </w:r>
      <w:r>
        <w:rPr>
          <w:b/>
          <w:bCs/>
        </w:rPr>
        <w:t xml:space="preserve">Float16(4.5)</w:t>
      </w:r>
      <w:r>
        <w:t xml:space="preserve">,</w:t>
      </w:r>
      <w:r>
        <w:t xml:space="preserve"> </w:t>
      </w:r>
      <w:r>
        <w:rPr>
          <w:b/>
          <w:bCs/>
        </w:rPr>
        <w:t xml:space="preserve">Float32(4.1))</w:t>
      </w:r>
      <w:r>
        <w:t xml:space="preserve"> </w:t>
      </w:r>
      <w:r>
        <w:t xml:space="preserve">В данном выражении все аргументы оператора</w:t>
      </w:r>
      <w:r>
        <w:t xml:space="preserve"> </w:t>
      </w:r>
      <w:r>
        <w:rPr>
          <w:b/>
          <w:bCs/>
        </w:rPr>
        <w:t xml:space="preserve">promote()</w:t>
      </w:r>
      <w:r>
        <w:t xml:space="preserve"> </w:t>
      </w:r>
      <w:r>
        <w:t xml:space="preserve">в результате будут иметь</w:t>
      </w:r>
      <w:r>
        <w:t xml:space="preserve"> </w:t>
      </w:r>
      <w:r>
        <w:t xml:space="preserve">тип</w:t>
      </w:r>
      <w:r>
        <w:t xml:space="preserve"> </w:t>
      </w:r>
      <w:r>
        <w:rPr>
          <w:b/>
          <w:bCs/>
        </w:rPr>
        <w:t xml:space="preserve">Float32</w:t>
      </w:r>
      <w:r>
        <w:t xml:space="preserve">, в чём можно убедиться, воспользовавшись функцией определения типа</w:t>
      </w:r>
      <w:r>
        <w:t xml:space="preserve"> </w:t>
      </w:r>
      <w:r>
        <w:rPr>
          <w:b/>
          <w:bCs/>
        </w:rPr>
        <w:t xml:space="preserve">typeof</w:t>
      </w:r>
      <w:r>
        <w:t xml:space="preserve"> </w:t>
      </w:r>
      <w:r>
        <w:t xml:space="preserve">(рис. 12):</w:t>
      </w:r>
    </w:p>
    <w:bookmarkStart w:id="71" w:name="fig:012"/>
    <w:p>
      <w:pPr>
        <w:pStyle w:val="CaptionedFigure"/>
      </w:pPr>
      <w:r>
        <w:drawing>
          <wp:inline>
            <wp:extent cx="3733800" cy="1836042"/>
            <wp:effectExtent b="0" l="0" r="0" t="0"/>
            <wp:docPr descr="Рис. 12: Примеры приведения аргументов к одному типу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6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Примеры приведения аргументов к одному типу</w:t>
      </w:r>
    </w:p>
    <w:bookmarkEnd w:id="71"/>
    <w:p>
      <w:pPr>
        <w:pStyle w:val="BodyText"/>
      </w:pPr>
      <w:r>
        <w:t xml:space="preserve">Базовый синтаксис определения функции:</w:t>
      </w:r>
    </w:p>
    <w:p>
      <w:pPr>
        <w:pStyle w:val="SourceCode"/>
      </w:pPr>
      <w:r>
        <w:rPr>
          <w:rStyle w:val="VerbatimChar"/>
        </w:rPr>
        <w:t xml:space="preserve">function &lt;Имя&gt; (&lt;СписокПараметров&gt;)</w:t>
      </w:r>
      <w:r>
        <w:br/>
      </w:r>
      <w:r>
        <w:rPr>
          <w:rStyle w:val="VerbatimChar"/>
        </w:rPr>
        <w:t xml:space="preserve">    &lt;Действия&gt;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Например, определим функцию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возведения переменной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 квадрат и возведём в квадрат число 4 (рис. 13):</w:t>
      </w:r>
    </w:p>
    <w:p>
      <w:pPr>
        <w:pStyle w:val="SourceCode"/>
      </w:pPr>
      <w:r>
        <w:rPr>
          <w:rStyle w:val="VerbatimChar"/>
        </w:rPr>
        <w:t xml:space="preserve">function f(x)</w:t>
      </w:r>
      <w:r>
        <w:br/>
      </w:r>
      <w:r>
        <w:rPr>
          <w:rStyle w:val="VerbatimChar"/>
        </w:rPr>
        <w:t xml:space="preserve">    x^2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f(4)</w:t>
      </w:r>
    </w:p>
    <w:p>
      <w:pPr>
        <w:pStyle w:val="FirstParagraph"/>
      </w:pPr>
      <w:r>
        <w:t xml:space="preserve">Другой способ определения несложных функций (рис. 14:</w:t>
      </w:r>
    </w:p>
    <w:p>
      <w:pPr>
        <w:pStyle w:val="SourceCode"/>
      </w:pPr>
      <w:r>
        <w:rPr>
          <w:rStyle w:val="VerbatimChar"/>
        </w:rPr>
        <w:t xml:space="preserve">&lt;Имя&gt; (&lt;СписокПараметров&gt;) = &lt;Выражение&gt;</w:t>
      </w:r>
    </w:p>
    <w:p>
      <w:pPr>
        <w:pStyle w:val="FirstParagraph"/>
      </w:pPr>
      <w:r>
        <w:t xml:space="preserve">Пример определения одномерных массивов (вектор-строка и вектор-столбец) и обращение к их вторым элементам (рис. 13):</w:t>
      </w:r>
    </w:p>
    <w:p>
      <w:pPr>
        <w:pStyle w:val="SourceCode"/>
      </w:pPr>
      <w:r>
        <w:rPr>
          <w:rStyle w:val="VerbatimChar"/>
        </w:rPr>
        <w:t xml:space="preserve">a = [4 7 6] # вектор-строка</w:t>
      </w:r>
      <w:r>
        <w:br/>
      </w:r>
      <w:r>
        <w:rPr>
          <w:rStyle w:val="VerbatimChar"/>
        </w:rPr>
        <w:t xml:space="preserve">b = [1, 2, 3] # вектор-столбец</w:t>
      </w:r>
      <w:r>
        <w:br/>
      </w:r>
      <w:r>
        <w:rPr>
          <w:rStyle w:val="VerbatimChar"/>
        </w:rPr>
        <w:t xml:space="preserve">a[2], b[2] # вторые элементы векторов a и b</w:t>
      </w:r>
    </w:p>
    <w:bookmarkStart w:id="75" w:name="fig:013"/>
    <w:p>
      <w:pPr>
        <w:pStyle w:val="CaptionedFigure"/>
      </w:pPr>
      <w:r>
        <w:drawing>
          <wp:inline>
            <wp:extent cx="3733800" cy="1957175"/>
            <wp:effectExtent b="0" l="0" r="0" t="0"/>
            <wp:docPr descr="Рис. 13: Пример определения одномерных массивов и пример определения функций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Пример определения одномерных массивов и пример определения функций</w:t>
      </w:r>
    </w:p>
    <w:bookmarkEnd w:id="75"/>
    <w:bookmarkStart w:id="79" w:name="fig:014"/>
    <w:p>
      <w:pPr>
        <w:pStyle w:val="CaptionedFigure"/>
      </w:pPr>
      <w:r>
        <w:drawing>
          <wp:inline>
            <wp:extent cx="3733800" cy="997226"/>
            <wp:effectExtent b="0" l="0" r="0" t="0"/>
            <wp:docPr descr="Рис. 14: Пример определения функций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7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Пример определения функций</w:t>
      </w:r>
    </w:p>
    <w:bookmarkEnd w:id="79"/>
    <w:p>
      <w:pPr>
        <w:pStyle w:val="BodyText"/>
      </w:pPr>
      <w:r>
        <w:t xml:space="preserve">Пример определения двумерного массива (матрицы) и обращение к его элементам (рис. 15):</w:t>
      </w:r>
    </w:p>
    <w:p>
      <w:pPr>
        <w:pStyle w:val="SourceCode"/>
      </w:pPr>
      <w:r>
        <w:rPr>
          <w:rStyle w:val="VerbatimChar"/>
        </w:rPr>
        <w:t xml:space="preserve">a = 1; b = 2; c = 3; d = 4 # присвоение значений</w:t>
      </w:r>
      <w:r>
        <w:br/>
      </w:r>
      <w:r>
        <w:rPr>
          <w:rStyle w:val="VerbatimChar"/>
        </w:rPr>
        <w:t xml:space="preserve">Am = [a b; c d] # матрица 2 х 2</w:t>
      </w:r>
      <w:r>
        <w:br/>
      </w:r>
      <w:r>
        <w:rPr>
          <w:rStyle w:val="VerbatimChar"/>
        </w:rPr>
        <w:t xml:space="preserve">Am[1,1], Am[1,2], Am[2,1], Am[2,2] # элементы матрицы</w:t>
      </w:r>
    </w:p>
    <w:p>
      <w:pPr>
        <w:pStyle w:val="FirstParagraph"/>
      </w:pPr>
      <w:r>
        <w:t xml:space="preserve">Пример выполнения операций над массивами (aa’ – транспонирование вектора) (рис. 15):</w:t>
      </w:r>
    </w:p>
    <w:p>
      <w:pPr>
        <w:pStyle w:val="SourceCode"/>
      </w:pPr>
      <w:r>
        <w:rPr>
          <w:rStyle w:val="VerbatimChar"/>
        </w:rPr>
        <w:t xml:space="preserve">aa = [1 2]</w:t>
      </w:r>
      <w:r>
        <w:br/>
      </w:r>
      <w:r>
        <w:rPr>
          <w:rStyle w:val="VerbatimChar"/>
        </w:rPr>
        <w:t xml:space="preserve">AA = [1 2; 3 4]</w:t>
      </w:r>
      <w:r>
        <w:br/>
      </w:r>
      <w:r>
        <w:rPr>
          <w:rStyle w:val="VerbatimChar"/>
        </w:rPr>
        <w:t xml:space="preserve">aa*AA*aa</w:t>
      </w:r>
    </w:p>
    <w:bookmarkStart w:id="83" w:name="fig:015"/>
    <w:p>
      <w:pPr>
        <w:pStyle w:val="CaptionedFigure"/>
      </w:pPr>
      <w:r>
        <w:drawing>
          <wp:inline>
            <wp:extent cx="3733800" cy="3174485"/>
            <wp:effectExtent b="0" l="0" r="0" t="0"/>
            <wp:docPr descr="Рис. 15: Примеры работы с массивами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4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Примеры работы с массивами</w:t>
      </w:r>
    </w:p>
    <w:bookmarkEnd w:id="83"/>
    <w:bookmarkEnd w:id="84"/>
    <w:bookmarkStart w:id="109" w:name="задания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Задания для самостоятельной работы</w:t>
      </w:r>
    </w:p>
    <w:p>
      <w:pPr>
        <w:pStyle w:val="Compact"/>
        <w:numPr>
          <w:ilvl w:val="0"/>
          <w:numId w:val="1003"/>
        </w:numPr>
      </w:pPr>
      <w:r>
        <w:t xml:space="preserve">Изучите документацию по основным функциям Julia для чтения / записи / вывода информации на экран:</w:t>
      </w:r>
      <w:r>
        <w:t xml:space="preserve"> </w:t>
      </w:r>
      <w:r>
        <w:rPr>
          <w:b/>
          <w:bCs/>
        </w:rPr>
        <w:t xml:space="preserve">read(), readline(), readlines(), readdlm(), print(), println(), show(), write()</w:t>
      </w:r>
      <w:r>
        <w:t xml:space="preserve">. Приведите свои примеры их использования, поясняя особенности их применения.</w:t>
      </w:r>
    </w:p>
    <w:bookmarkStart w:id="88" w:name="fig:016"/>
    <w:p>
      <w:pPr>
        <w:pStyle w:val="CaptionedFigure"/>
      </w:pPr>
      <w:r>
        <w:drawing>
          <wp:inline>
            <wp:extent cx="3733800" cy="3399489"/>
            <wp:effectExtent b="0" l="0" r="0" t="0"/>
            <wp:docPr descr="Рис. 16: Функции read(), readline(), readlines()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9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Функции read(), readline(), readlines()</w:t>
      </w:r>
    </w:p>
    <w:bookmarkEnd w:id="88"/>
    <w:p>
      <w:pPr>
        <w:numPr>
          <w:ilvl w:val="0"/>
          <w:numId w:val="1004"/>
        </w:numPr>
      </w:pPr>
      <w:r>
        <w:rPr>
          <w:b/>
          <w:bCs/>
        </w:rPr>
        <w:t xml:space="preserve">read()</w:t>
      </w:r>
      <w:r>
        <w:t xml:space="preserve"> </w:t>
      </w:r>
      <w:r>
        <w:t xml:space="preserve">читает весь файл, как массив байтов;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readline()</w:t>
      </w:r>
      <w:r>
        <w:t xml:space="preserve"> </w:t>
      </w:r>
      <w:r>
        <w:t xml:space="preserve">читает только одну строку;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readlines()</w:t>
      </w:r>
      <w:r>
        <w:t xml:space="preserve"> </w:t>
      </w:r>
      <w:r>
        <w:t xml:space="preserve">читает все строки.</w:t>
      </w:r>
    </w:p>
    <w:bookmarkStart w:id="92" w:name="fig:017"/>
    <w:p>
      <w:pPr>
        <w:pStyle w:val="CaptionedFigure"/>
      </w:pPr>
      <w:r>
        <w:drawing>
          <wp:inline>
            <wp:extent cx="3733800" cy="2498618"/>
            <wp:effectExtent b="0" l="0" r="0" t="0"/>
            <wp:docPr descr="Рис. 17: Функции readlm(), print(), println(), show(), write()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Функции readlm(), print(), println(), show(), write()</w:t>
      </w:r>
    </w:p>
    <w:bookmarkEnd w:id="92"/>
    <w:p>
      <w:pPr>
        <w:numPr>
          <w:ilvl w:val="0"/>
          <w:numId w:val="1005"/>
        </w:numPr>
      </w:pPr>
      <w:r>
        <w:rPr>
          <w:b/>
          <w:bCs/>
        </w:rPr>
        <w:t xml:space="preserve">readlm()</w:t>
      </w:r>
      <w:r>
        <w:t xml:space="preserve"> </w:t>
      </w:r>
      <w:r>
        <w:t xml:space="preserve">читает с разделителем;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print()</w:t>
      </w:r>
      <w:r>
        <w:t xml:space="preserve"> </w:t>
      </w:r>
      <w:r>
        <w:t xml:space="preserve">вывод текста по частям;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println()</w:t>
      </w:r>
      <w:r>
        <w:t xml:space="preserve"> </w:t>
      </w:r>
      <w:r>
        <w:t xml:space="preserve">вывод в отдельных строках.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show()</w:t>
      </w:r>
      <w:r>
        <w:t xml:space="preserve"> </w:t>
      </w:r>
      <w:r>
        <w:t xml:space="preserve">выводит текстовые данные;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write()</w:t>
      </w:r>
      <w:r>
        <w:t xml:space="preserve"> </w:t>
      </w:r>
      <w:r>
        <w:t xml:space="preserve">выводит двоичные данные.</w:t>
      </w:r>
    </w:p>
    <w:p>
      <w:pPr>
        <w:pStyle w:val="Compact"/>
        <w:numPr>
          <w:ilvl w:val="0"/>
          <w:numId w:val="1006"/>
        </w:numPr>
      </w:pPr>
      <w:r>
        <w:t xml:space="preserve">Изучите документацию по функции</w:t>
      </w:r>
      <w:r>
        <w:t xml:space="preserve"> </w:t>
      </w:r>
      <w:r>
        <w:rPr>
          <w:b/>
          <w:bCs/>
        </w:rPr>
        <w:t xml:space="preserve">parse()</w:t>
      </w:r>
      <w:r>
        <w:t xml:space="preserve">. Приведите свои примеры её использования, поясняя особенности её применения.</w:t>
      </w:r>
    </w:p>
    <w:bookmarkStart w:id="96" w:name="fig:018"/>
    <w:p>
      <w:pPr>
        <w:pStyle w:val="CaptionedFigure"/>
      </w:pPr>
      <w:r>
        <w:drawing>
          <wp:inline>
            <wp:extent cx="3733800" cy="1128951"/>
            <wp:effectExtent b="0" l="0" r="0" t="0"/>
            <wp:docPr descr="Рис. 18: Функция parse()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8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Функция parse()</w:t>
      </w:r>
    </w:p>
    <w:bookmarkEnd w:id="96"/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parse()</w:t>
      </w:r>
      <w:r>
        <w:t xml:space="preserve"> </w:t>
      </w:r>
      <w:r>
        <w:t xml:space="preserve">используется для преобразования строки в число определенного типа</w:t>
      </w:r>
    </w:p>
    <w:p>
      <w:pPr>
        <w:pStyle w:val="Compact"/>
        <w:numPr>
          <w:ilvl w:val="0"/>
          <w:numId w:val="1008"/>
        </w:numPr>
      </w:pPr>
      <w:r>
        <w:t xml:space="preserve">Изучите синтаксис Julia для базовых математических операций с разным типом переменных: сложение, вычитание, умножение, деление, возведение в степень, извлечение корня, сравнение, логические операции. Приведите свои примеры с пояснениями по особенностям их применения.</w:t>
      </w:r>
    </w:p>
    <w:bookmarkStart w:id="100" w:name="fig:019"/>
    <w:p>
      <w:pPr>
        <w:pStyle w:val="CaptionedFigure"/>
      </w:pPr>
      <w:r>
        <w:drawing>
          <wp:inline>
            <wp:extent cx="3733800" cy="6295450"/>
            <wp:effectExtent b="0" l="0" r="0" t="0"/>
            <wp:docPr descr="Рис. 19: Математические операции с разным типом переменных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5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Математические операции с разным типом переменных</w:t>
      </w:r>
    </w:p>
    <w:bookmarkEnd w:id="100"/>
    <w:bookmarkStart w:id="104" w:name="fig:020"/>
    <w:p>
      <w:pPr>
        <w:pStyle w:val="CaptionedFigure"/>
      </w:pPr>
      <w:r>
        <w:drawing>
          <wp:inline>
            <wp:extent cx="3733800" cy="5951220"/>
            <wp:effectExtent b="0" l="0" r="0" t="0"/>
            <wp:docPr descr="Рис. 20: Математические операции с разным типом переменных(логические операции)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Математические операции с разным типом переменных(логические операции)</w:t>
      </w:r>
    </w:p>
    <w:bookmarkEnd w:id="104"/>
    <w:p>
      <w:pPr>
        <w:pStyle w:val="Compact"/>
        <w:numPr>
          <w:ilvl w:val="0"/>
          <w:numId w:val="1009"/>
        </w:numPr>
      </w:pPr>
      <w:r>
        <w:t xml:space="preserve">Приведите несколько своих примеров с пояснениями с операциями над матрицами и векторами: сложение, вычитание, скалярное произведение, транспонирование, умножение на скаляр.</w:t>
      </w:r>
    </w:p>
    <w:bookmarkStart w:id="108" w:name="fig:021"/>
    <w:p>
      <w:pPr>
        <w:pStyle w:val="CaptionedFigure"/>
      </w:pPr>
      <w:r>
        <w:drawing>
          <wp:inline>
            <wp:extent cx="3733800" cy="5951220"/>
            <wp:effectExtent b="0" l="0" r="0" t="0"/>
            <wp:docPr descr="Рис. 21: Операции над матрицами и векторами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Операции над матрицами и векторами</w:t>
      </w:r>
    </w:p>
    <w:bookmarkEnd w:id="108"/>
    <w:bookmarkEnd w:id="109"/>
    <w:bookmarkEnd w:id="110"/>
    <w:bookmarkStart w:id="11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подготовила рабочее пространство и инструментарий для с языком программирования Julia, на простейших примерах познакомиться</w:t>
      </w:r>
      <w:r>
        <w:t xml:space="preserve"> </w:t>
      </w:r>
      <w:r>
        <w:t xml:space="preserve">с основами синтаксиса Julia.</w:t>
      </w:r>
    </w:p>
    <w:bookmarkEnd w:id="1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6" Target="media/rId26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1. Julia. Установка и настройка. Основные принципы.</dc:title>
  <dc:creator>Абакумова Олеся Максимовна, НФИбд-02-22</dc:creator>
  <dc:language>ru-RU</dc:language>
  <cp:keywords/>
  <dcterms:created xsi:type="dcterms:W3CDTF">2025-09-13T11:52:08Z</dcterms:created>
  <dcterms:modified xsi:type="dcterms:W3CDTF">2025-09-13T11:52:08Z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