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3.png" ContentType="image/png"/>
  <Override PartName="/word/media/rId68.png" ContentType="image/png"/>
  <Override PartName="/word/media/rId73.png" ContentType="image/png"/>
  <Override PartName="/word/media/rId77.png" ContentType="image/png"/>
  <Override PartName="/word/media/rId82.png" ContentType="image/png"/>
  <Override PartName="/word/media/rId86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4. Линейная алгебра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изучение возможностей специализированных пакетов Julia для выполнения и оценки эффективности операций над объектами линейной</w:t>
      </w:r>
      <w:r>
        <w:t xml:space="preserve"> </w:t>
      </w:r>
      <w:r>
        <w:t xml:space="preserve">алгебры.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Выполнить примеры, приведенные в лабораторной работе.</w:t>
      </w:r>
    </w:p>
    <w:p>
      <w:pPr>
        <w:numPr>
          <w:ilvl w:val="0"/>
          <w:numId w:val="1001"/>
        </w:numPr>
      </w:pPr>
      <w:r>
        <w:t xml:space="preserve">Выполнить задания для самостоятельного выполнения</w:t>
      </w:r>
    </w:p>
    <w:bookmarkEnd w:id="21"/>
    <w:bookmarkStart w:id="10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6" w:name="Xc28563639bee130e298f75fd93151139a0dd5dc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Поэлементные операции над многомерными массивами</w:t>
      </w:r>
    </w:p>
    <w:p>
      <w:pPr>
        <w:pStyle w:val="FirstParagraph"/>
      </w:pPr>
      <w:r>
        <w:t xml:space="preserve">Для матрицы 4 × 3 рассмотрим поэлементные операции сложения и произведения её</w:t>
      </w:r>
      <w:r>
        <w:t xml:space="preserve"> </w:t>
      </w:r>
      <w:r>
        <w:t xml:space="preserve">элементов. Для работы со средними значениями можно воспользоваться возможностями пакета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 </w:t>
      </w:r>
      <w:r>
        <w:t xml:space="preserve">(рис. 1):</w:t>
      </w:r>
    </w:p>
    <w:bookmarkStart w:id="25" w:name="fig:001"/>
    <w:p>
      <w:pPr>
        <w:pStyle w:val="CaptionedFigure"/>
      </w:pPr>
      <w:r>
        <w:drawing>
          <wp:inline>
            <wp:extent cx="3733800" cy="4357737"/>
            <wp:effectExtent b="0" l="0" r="0" t="0"/>
            <wp:docPr descr="Рис. 1: Примеры поэлементных операций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57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Примеры поэлементных операций</w:t>
      </w:r>
    </w:p>
    <w:bookmarkEnd w:id="25"/>
    <w:bookmarkEnd w:id="26"/>
    <w:bookmarkStart w:id="31" w:name="Xe71a3b7cf23fde2857c4c69b12515f71438b9aa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Транспонирование, след, ранг, определитель и инверсия матрицы</w:t>
      </w:r>
    </w:p>
    <w:p>
      <w:pPr>
        <w:pStyle w:val="FirstParagraph"/>
      </w:pPr>
      <w:r>
        <w:t xml:space="preserve">Для выполнения таких операций над матрицами, как транспонирование, диагонализация, определение следа, ранга, определителя матрицы и т.п. можно воспользоваться библиотекой (пакетом)</w:t>
      </w:r>
      <w:r>
        <w:t xml:space="preserve"> </w:t>
      </w:r>
      <w:r>
        <w:rPr>
          <w:rStyle w:val="VerbatimChar"/>
        </w:rPr>
        <w:t xml:space="preserve">LinearAlgebra</w:t>
      </w:r>
      <w:r>
        <w:t xml:space="preserve"> </w:t>
      </w:r>
      <w:r>
        <w:t xml:space="preserve">(рис. 2):</w:t>
      </w:r>
    </w:p>
    <w:bookmarkStart w:id="30" w:name="fig:002"/>
    <w:p>
      <w:pPr>
        <w:pStyle w:val="CaptionedFigure"/>
      </w:pPr>
      <w:r>
        <w:drawing>
          <wp:inline>
            <wp:extent cx="3733800" cy="4693566"/>
            <wp:effectExtent b="0" l="0" r="0" t="0"/>
            <wp:docPr descr="Рис. 2: Различные операции над матрицами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93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Различные операции над матрицами</w:t>
      </w:r>
    </w:p>
    <w:bookmarkEnd w:id="30"/>
    <w:bookmarkEnd w:id="31"/>
    <w:bookmarkStart w:id="36" w:name="Xd91d5cc23a5b4c7dd0e00c3f37738f394a8e13e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Вычисление нормы векторов и матриц, повороты, вращения</w:t>
      </w:r>
    </w:p>
    <w:p>
      <w:pPr>
        <w:pStyle w:val="FirstParagraph"/>
      </w:pPr>
      <w:r>
        <w:t xml:space="preserve">Евклидова норма:</w:t>
      </w:r>
    </w:p>
    <w:p>
      <w:pPr>
        <w:pStyle w:val="BodyText"/>
      </w:pPr>
      <m:oMath>
        <m:r>
          <m:rPr>
            <m:sty m:val="p"/>
          </m:rPr>
          <m:t>∥</m:t>
        </m:r>
        <m:acc>
          <m:accPr>
            <m:chr m:val="⃗"/>
          </m:accPr>
          <m:e>
            <m:r>
              <m:t>X</m:t>
            </m:r>
          </m:e>
        </m:acc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e>
        </m:rad>
      </m:oMath>
    </w:p>
    <w:p>
      <w:pPr>
        <w:pStyle w:val="BodyText"/>
      </w:pPr>
      <w:r>
        <w:t xml:space="preserve">p-норма:</w:t>
      </w:r>
    </w:p>
    <w:p>
      <w:pPr>
        <w:pStyle w:val="BodyText"/>
      </w:pPr>
      <m:oMath>
        <m:r>
          <m:rPr>
            <m:sty m:val="p"/>
          </m:rPr>
          <m:t>∥</m:t>
        </m:r>
        <m:acc>
          <m:accPr>
            <m:chr m:val="⃗"/>
          </m:accPr>
          <m:e>
            <m:r>
              <m:t>A</m:t>
            </m:r>
          </m:e>
        </m:acc>
        <m:sSub>
          <m:e>
            <m:r>
              <m:rPr>
                <m:sty m:val="p"/>
              </m:rPr>
              <m:t>∥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p>
                      <m:e>
                        <m:d>
                          <m:dPr>
                            <m:begChr m:val="|"/>
                            <m:sepChr m:val=""/>
                            <m:endChr m:val="|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t>p</m:t>
                        </m:r>
                      </m:sup>
                    </m:sSup>
                  </m:e>
                </m:nary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p</m:t>
            </m:r>
          </m:sup>
        </m:sSup>
      </m:oMath>
    </w:p>
    <w:bookmarkStart w:id="35" w:name="fig:003"/>
    <w:p>
      <w:pPr>
        <w:pStyle w:val="CaptionedFigure"/>
      </w:pPr>
      <w:r>
        <w:drawing>
          <wp:inline>
            <wp:extent cx="3733800" cy="6341533"/>
            <wp:effectExtent b="0" l="0" r="0" t="0"/>
            <wp:docPr descr="Рис. 3: Вычисления нормы векторов и матриц, повороты, вращения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41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Вычисления нормы векторов и матриц, повороты, вращения</w:t>
      </w:r>
    </w:p>
    <w:bookmarkEnd w:id="35"/>
    <w:bookmarkEnd w:id="36"/>
    <w:bookmarkStart w:id="41" w:name="X5c7ba8ea9205f78450384725fbd8ae04a8a0851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Матричное умножение, единичная матрица, скалярное произведение</w:t>
      </w:r>
    </w:p>
    <w:p>
      <w:pPr>
        <w:pStyle w:val="FirstParagraph"/>
      </w:pPr>
      <w:r>
        <w:t xml:space="preserve">Рассмотрим следущие примеры в данном разделе (рис. 4):</w:t>
      </w:r>
    </w:p>
    <w:bookmarkStart w:id="40" w:name="fig:004"/>
    <w:p>
      <w:pPr>
        <w:pStyle w:val="CaptionedFigure"/>
      </w:pPr>
      <w:r>
        <w:drawing>
          <wp:inline>
            <wp:extent cx="3733800" cy="3234887"/>
            <wp:effectExtent b="0" l="0" r="0" t="0"/>
            <wp:docPr descr="Рис. 4: Примеры матричного умножения, единичной матрицы, скалярного произведения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4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Примеры матричного умножения, единичной матрицы, скалярного произведения</w:t>
      </w:r>
    </w:p>
    <w:bookmarkEnd w:id="40"/>
    <w:bookmarkEnd w:id="41"/>
    <w:bookmarkStart w:id="62" w:name="Xc1b05fa6b627f0a61977718129e6f3db9a4d06a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Факторизация. Специальные матричные структуры</w:t>
      </w:r>
    </w:p>
    <w:p>
      <w:pPr>
        <w:pStyle w:val="FirstParagraph"/>
      </w:pPr>
      <w:r>
        <w:t xml:space="preserve">В математике факторизация (или разложение) объекта — его декомпозиция (например,числа, полинома или матрицы) в произведение других объектов или факторов, которые, будучи перемноженными, дают исходный объект.</w:t>
      </w:r>
    </w:p>
    <w:p>
      <w:pPr>
        <w:pStyle w:val="BodyText"/>
      </w:pPr>
      <w:r>
        <w:t xml:space="preserve">Рассмотрим несколько примеров. Для работы со специальными матричными структурами потребуется пакет</w:t>
      </w:r>
      <w:r>
        <w:t xml:space="preserve"> </w:t>
      </w:r>
      <w:r>
        <w:rPr>
          <w:rStyle w:val="VerbatimChar"/>
        </w:rPr>
        <w:t xml:space="preserve">LinearAlgebra</w:t>
      </w:r>
      <w:r>
        <w:t xml:space="preserve"> </w:t>
      </w:r>
      <w:r>
        <w:t xml:space="preserve">(рис. 5):</w:t>
      </w:r>
    </w:p>
    <w:bookmarkStart w:id="45" w:name="fig:005"/>
    <w:p>
      <w:pPr>
        <w:pStyle w:val="CaptionedFigure"/>
      </w:pPr>
      <w:r>
        <w:drawing>
          <wp:inline>
            <wp:extent cx="3733800" cy="7063183"/>
            <wp:effectExtent b="0" l="0" r="0" t="0"/>
            <wp:docPr descr="Рис. 5: Примеры работы со специальными матричными структурами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63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Примеры работы со специальными матричными структурами</w:t>
      </w:r>
    </w:p>
    <w:bookmarkEnd w:id="45"/>
    <w:p>
      <w:pPr>
        <w:pStyle w:val="BodyText"/>
      </w:pPr>
      <w:r>
        <w:t xml:space="preserve">Исходная система уравнений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может быть решена или с использованием</w:t>
      </w:r>
      <w:r>
        <w:t xml:space="preserve"> </w:t>
      </w:r>
      <w:r>
        <w:t xml:space="preserve">исходной матрицы, или с использованием объекта факторизации (рис. 6):</w:t>
      </w:r>
    </w:p>
    <w:bookmarkStart w:id="49" w:name="fig:006"/>
    <w:p>
      <w:pPr>
        <w:pStyle w:val="CaptionedFigure"/>
      </w:pPr>
      <w:r>
        <w:drawing>
          <wp:inline>
            <wp:extent cx="3733800" cy="7486650"/>
            <wp:effectExtent b="0" l="0" r="0" t="0"/>
            <wp:docPr descr="Рис. 6: Решение исходной системы уравнений" title="" id="47" name="Picture"/>
            <a:graphic>
              <a:graphicData uri="http://schemas.openxmlformats.org/drawingml/2006/picture">
                <pic:pic>
                  <pic:nvPicPr>
                    <pic:cNvPr descr="image/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86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Решение исходной системы уравнений</w:t>
      </w:r>
    </w:p>
    <w:bookmarkEnd w:id="49"/>
    <w:p>
      <w:pPr>
        <w:pStyle w:val="BodyText"/>
      </w:pPr>
      <w:r>
        <w:t xml:space="preserve">Далее рассмотрим примеры работы с матрицами большой размерности и специальной</w:t>
      </w:r>
      <w:r>
        <w:t xml:space="preserve"> </w:t>
      </w:r>
      <w:r>
        <w:t xml:space="preserve">структуры (рис. 7):</w:t>
      </w:r>
    </w:p>
    <w:bookmarkStart w:id="53" w:name="fig:007"/>
    <w:p>
      <w:pPr>
        <w:pStyle w:val="CaptionedFigure"/>
      </w:pPr>
      <w:r>
        <w:drawing>
          <wp:inline>
            <wp:extent cx="3733800" cy="7486650"/>
            <wp:effectExtent b="0" l="0" r="0" t="0"/>
            <wp:docPr descr="Рис. 7: Примеры работы с матрицами большой размерности и специальной структуры" title="" id="51" name="Picture"/>
            <a:graphic>
              <a:graphicData uri="http://schemas.openxmlformats.org/drawingml/2006/picture">
                <pic:pic>
                  <pic:nvPicPr>
                    <pic:cNvPr descr="image/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86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Примеры работы с матрицами большой размерности и специальной структуры</w:t>
      </w:r>
    </w:p>
    <w:bookmarkEnd w:id="53"/>
    <w:p>
      <w:pPr>
        <w:pStyle w:val="BodyText"/>
      </w:pPr>
      <w:r>
        <w:t xml:space="preserve">Далее для оценки эффективности выполнения операций над матрицами большой</w:t>
      </w:r>
      <w:r>
        <w:t xml:space="preserve"> </w:t>
      </w:r>
      <w:r>
        <w:t xml:space="preserve">размерности и специальной структуры воспользуемся пакетом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 </w:t>
      </w:r>
      <w:r>
        <w:t xml:space="preserve">(рис. 8):</w:t>
      </w:r>
    </w:p>
    <w:bookmarkStart w:id="57" w:name="fig:008"/>
    <w:p>
      <w:pPr>
        <w:pStyle w:val="CaptionedFigure"/>
      </w:pPr>
      <w:r>
        <w:drawing>
          <wp:inline>
            <wp:extent cx="3733800" cy="7486650"/>
            <wp:effectExtent b="0" l="0" r="0" t="0"/>
            <wp:docPr descr="Рис. 8: Оценка эффективности" title="" id="55" name="Picture"/>
            <a:graphic>
              <a:graphicData uri="http://schemas.openxmlformats.org/drawingml/2006/picture">
                <pic:pic>
                  <pic:nvPicPr>
                    <pic:cNvPr descr="image/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86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Оценка эффективности</w:t>
      </w:r>
    </w:p>
    <w:bookmarkEnd w:id="57"/>
    <w:p>
      <w:pPr>
        <w:pStyle w:val="BodyText"/>
      </w:pPr>
      <w:r>
        <w:t xml:space="preserve">Далее рассмотрим примеры работы с разряженными матрицами большой размерности(рис. 8).</w:t>
      </w:r>
      <w:r>
        <w:t xml:space="preserve"> </w:t>
      </w:r>
      <w:r>
        <w:t xml:space="preserve">Использование типов</w:t>
      </w:r>
      <w:r>
        <w:t xml:space="preserve"> </w:t>
      </w:r>
      <w:r>
        <w:rPr>
          <w:rStyle w:val="VerbatimChar"/>
        </w:rPr>
        <w:t xml:space="preserve">Tridiagonal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SymTridiagonal</w:t>
      </w:r>
      <w:r>
        <w:t xml:space="preserve"> </w:t>
      </w:r>
      <w:r>
        <w:t xml:space="preserve">для хранения трёхдиагональных матриц позволяет работать с потенциально очень большими трёхдиагональными матрицами (рис. 9):</w:t>
      </w:r>
    </w:p>
    <w:bookmarkStart w:id="61" w:name="fig:009"/>
    <w:p>
      <w:pPr>
        <w:pStyle w:val="CaptionedFigure"/>
      </w:pPr>
      <w:r>
        <w:drawing>
          <wp:inline>
            <wp:extent cx="3733800" cy="1380824"/>
            <wp:effectExtent b="0" l="0" r="0" t="0"/>
            <wp:docPr descr="Рис. 9: Оценка эффективности" title="" id="59" name="Picture"/>
            <a:graphic>
              <a:graphicData uri="http://schemas.openxmlformats.org/drawingml/2006/picture">
                <pic:pic>
                  <pic:nvPicPr>
                    <pic:cNvPr descr="image/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0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Оценка эффективности</w:t>
      </w:r>
    </w:p>
    <w:bookmarkEnd w:id="61"/>
    <w:p>
      <w:pPr>
        <w:pStyle w:val="BodyText"/>
      </w:pPr>
      <w:r>
        <w:t xml:space="preserve">При попытке задать подобную матрицу обычным способом и посчитать её собственные</w:t>
      </w:r>
      <w:r>
        <w:t xml:space="preserve"> </w:t>
      </w:r>
      <w:r>
        <w:t xml:space="preserve">значения, вы скорее всего получите ошибку переполнения памяти.</w:t>
      </w:r>
    </w:p>
    <w:bookmarkEnd w:id="62"/>
    <w:bookmarkStart w:id="67" w:name="общая-линейная-алгебра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Общая линейная алгебра</w:t>
      </w:r>
    </w:p>
    <w:p>
      <w:pPr>
        <w:pStyle w:val="FirstParagraph"/>
      </w:pPr>
      <w:r>
        <w:t xml:space="preserve">Обычный способ добавить поддержку числовой линейной алгебры - это обернуть</w:t>
      </w:r>
      <w:r>
        <w:t xml:space="preserve"> </w:t>
      </w:r>
      <w:r>
        <w:t xml:space="preserve">подпрограммы</w:t>
      </w:r>
      <w:r>
        <w:t xml:space="preserve"> </w:t>
      </w:r>
      <w:r>
        <w:rPr>
          <w:rStyle w:val="VerbatimChar"/>
        </w:rPr>
        <w:t xml:space="preserve">BLAS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LAPACK</w:t>
      </w:r>
      <w:r>
        <w:t xml:space="preserve">. Собственно, для матриц с элементами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,</w:t>
      </w:r>
      <w:r>
        <w:rPr>
          <w:rStyle w:val="VerbatimChar"/>
        </w:rPr>
        <w:t xml:space="preserve">Float64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Complex {Float32}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Complex {Float64}</w:t>
      </w:r>
      <w:r>
        <w:t xml:space="preserve"> </w:t>
      </w:r>
      <w:r>
        <w:t xml:space="preserve">разработчики Julia использовали такое же</w:t>
      </w:r>
      <w:r>
        <w:t xml:space="preserve"> </w:t>
      </w:r>
      <w:r>
        <w:t xml:space="preserve">решение. Однако Julia также поддерживает общую линейную алгебру, что позволяет,</w:t>
      </w:r>
      <w:r>
        <w:t xml:space="preserve"> </w:t>
      </w:r>
      <w:r>
        <w:t xml:space="preserve">например, работать с матрицами и векторами рациональных чисел.</w:t>
      </w:r>
      <w:r>
        <w:t xml:space="preserve"> </w:t>
      </w:r>
      <w:r>
        <w:t xml:space="preserve">Для задания рационального числа используется двойная косая черта: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В следующем примере показано, как можно решить систему линейных уравнений с рациональными элементами без преобразования в типы элементов с плавающей запятой (для избежания проблемы с переполнением используем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) (рис. 10).</w:t>
      </w:r>
    </w:p>
    <w:bookmarkStart w:id="66" w:name="fig:010"/>
    <w:p>
      <w:pPr>
        <w:pStyle w:val="CaptionedFigure"/>
      </w:pPr>
      <w:r>
        <w:drawing>
          <wp:inline>
            <wp:extent cx="3733800" cy="3067498"/>
            <wp:effectExtent b="0" l="0" r="0" t="0"/>
            <wp:docPr descr="Рис. 10: Пример решения системы линейных уравнений с рациональными элементами" title="" id="64" name="Picture"/>
            <a:graphic>
              <a:graphicData uri="http://schemas.openxmlformats.org/drawingml/2006/picture">
                <pic:pic>
                  <pic:nvPicPr>
                    <pic:cNvPr descr="image/10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7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Пример решения системы линейных уравнений с рациональными элементами</w:t>
      </w:r>
    </w:p>
    <w:bookmarkEnd w:id="66"/>
    <w:bookmarkEnd w:id="67"/>
    <w:bookmarkStart w:id="104" w:name="задания-для-самостоятельного-выполнения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Задания для самостоятельного выполнения</w:t>
      </w:r>
    </w:p>
    <w:bookmarkStart w:id="72" w:name="произведения-векторов"/>
    <w:p>
      <w:pPr>
        <w:pStyle w:val="Heading3"/>
      </w:pPr>
      <w:r>
        <w:rPr>
          <w:rStyle w:val="SectionNumber"/>
        </w:rPr>
        <w:t xml:space="preserve">3.7.1</w:t>
      </w:r>
      <w:r>
        <w:tab/>
      </w:r>
      <w:r>
        <w:t xml:space="preserve">Произведения векторов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3"/>
        </w:numPr>
      </w:pPr>
      <w:r>
        <w:t xml:space="preserve">Задайте вектор</w:t>
      </w:r>
      <w:r>
        <w:t xml:space="preserve"> </w:t>
      </w:r>
      <w:r>
        <w:rPr>
          <w:rStyle w:val="VerbatimChar"/>
        </w:rPr>
        <w:t xml:space="preserve">v</w:t>
      </w:r>
      <w:r>
        <w:t xml:space="preserve">. Умножьте вектор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скалярно сам на себя и сохраните результат в</w:t>
      </w:r>
      <w:r>
        <w:t xml:space="preserve"> </w:t>
      </w:r>
      <w:r>
        <w:rPr>
          <w:rStyle w:val="VerbatimChar"/>
        </w:rPr>
        <w:t xml:space="preserve">dot_v</w:t>
      </w:r>
      <w:r>
        <w:t xml:space="preserve">(рис. 11).</w:t>
      </w:r>
    </w:p>
    <w:p>
      <w:pPr>
        <w:pStyle w:val="Compact"/>
        <w:numPr>
          <w:ilvl w:val="0"/>
          <w:numId w:val="1002"/>
        </w:numPr>
      </w:pPr>
      <w:r>
        <w:t xml:space="preserve">Умножьте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матрично на себя (внешнее произведение), присвоив результат переменной</w:t>
      </w:r>
      <w:r>
        <w:t xml:space="preserve"> </w:t>
      </w:r>
      <w:r>
        <w:rPr>
          <w:rStyle w:val="VerbatimChar"/>
        </w:rPr>
        <w:t xml:space="preserve">outer_v</w:t>
      </w:r>
      <w:r>
        <w:t xml:space="preserve"> </w:t>
      </w:r>
      <w:r>
        <w:t xml:space="preserve">(рис. 11).</w:t>
      </w:r>
    </w:p>
    <w:bookmarkStart w:id="71" w:name="fig:011"/>
    <w:p>
      <w:pPr>
        <w:pStyle w:val="CaptionedFigure"/>
      </w:pPr>
      <w:r>
        <w:drawing>
          <wp:inline>
            <wp:extent cx="3733800" cy="1349466"/>
            <wp:effectExtent b="0" l="0" r="0" t="0"/>
            <wp:docPr descr="Рис. 11: Пункт 1 и пункт 2" title="" id="69" name="Picture"/>
            <a:graphic>
              <a:graphicData uri="http://schemas.openxmlformats.org/drawingml/2006/picture">
                <pic:pic>
                  <pic:nvPicPr>
                    <pic:cNvPr descr="image/1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Пункт 1 и пункт 2</w:t>
      </w:r>
    </w:p>
    <w:bookmarkEnd w:id="71"/>
    <w:bookmarkEnd w:id="72"/>
    <w:bookmarkStart w:id="81" w:name="системы-линейных-уравнений"/>
    <w:p>
      <w:pPr>
        <w:pStyle w:val="Heading3"/>
      </w:pPr>
      <w:r>
        <w:rPr>
          <w:rStyle w:val="SectionNumber"/>
        </w:rPr>
        <w:t xml:space="preserve">3.7.2</w:t>
      </w:r>
      <w:r>
        <w:tab/>
      </w:r>
      <w:r>
        <w:t xml:space="preserve">Системы линейных уравнений</w:t>
      </w:r>
    </w:p>
    <w:p>
      <w:pPr>
        <w:pStyle w:val="Compact"/>
        <w:numPr>
          <w:ilvl w:val="0"/>
          <w:numId w:val="1004"/>
        </w:numPr>
      </w:pPr>
      <w:r>
        <w:t xml:space="preserve">Решить СЛАУ с двумя неизвестными (рис. 12):</w:t>
      </w:r>
    </w:p>
    <w:bookmarkStart w:id="76" w:name="fig:012"/>
    <w:p>
      <w:pPr>
        <w:pStyle w:val="CaptionedFigure"/>
      </w:pPr>
      <w:r>
        <w:drawing>
          <wp:inline>
            <wp:extent cx="3733800" cy="6022748"/>
            <wp:effectExtent b="0" l="0" r="0" t="0"/>
            <wp:docPr descr="Рис. 12: Решение СЛАУ с двумя неизвестными" title="" id="74" name="Picture"/>
            <a:graphic>
              <a:graphicData uri="http://schemas.openxmlformats.org/drawingml/2006/picture">
                <pic:pic>
                  <pic:nvPicPr>
                    <pic:cNvPr descr="image/1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22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Решение СЛАУ с двумя неизвестными</w:t>
      </w:r>
    </w:p>
    <w:bookmarkEnd w:id="76"/>
    <w:p>
      <w:pPr>
        <w:pStyle w:val="Compact"/>
        <w:numPr>
          <w:ilvl w:val="0"/>
          <w:numId w:val="1005"/>
        </w:numPr>
      </w:pPr>
      <w:r>
        <w:t xml:space="preserve">Решить СЛАУ с тремя неизвестными (рис. 13).</w:t>
      </w:r>
    </w:p>
    <w:bookmarkStart w:id="80" w:name="fig:013"/>
    <w:p>
      <w:pPr>
        <w:pStyle w:val="CaptionedFigure"/>
      </w:pPr>
      <w:r>
        <w:drawing>
          <wp:inline>
            <wp:extent cx="3733800" cy="4742528"/>
            <wp:effectExtent b="0" l="0" r="0" t="0"/>
            <wp:docPr descr="Рис. 13: Решение СЛАУ с тремя неизвестными" title="" id="78" name="Picture"/>
            <a:graphic>
              <a:graphicData uri="http://schemas.openxmlformats.org/drawingml/2006/picture">
                <pic:pic>
                  <pic:nvPicPr>
                    <pic:cNvPr descr="image/13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2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Решение СЛАУ с тремя неизвестными</w:t>
      </w:r>
    </w:p>
    <w:bookmarkEnd w:id="80"/>
    <w:bookmarkEnd w:id="81"/>
    <w:bookmarkStart w:id="90" w:name="операции-с-матрицами"/>
    <w:p>
      <w:pPr>
        <w:pStyle w:val="Heading3"/>
      </w:pPr>
      <w:r>
        <w:rPr>
          <w:rStyle w:val="SectionNumber"/>
        </w:rPr>
        <w:t xml:space="preserve">3.7.3</w:t>
      </w:r>
      <w:r>
        <w:tab/>
      </w:r>
      <w:r>
        <w:t xml:space="preserve">Операции с матрицами</w:t>
      </w:r>
    </w:p>
    <w:p>
      <w:pPr>
        <w:numPr>
          <w:ilvl w:val="0"/>
          <w:numId w:val="1006"/>
        </w:numPr>
      </w:pPr>
      <w:r>
        <w:t xml:space="preserve">Приведите матрицы к диагональному виду (рис. 14).</w:t>
      </w:r>
    </w:p>
    <w:p>
      <w:pPr>
        <w:numPr>
          <w:ilvl w:val="0"/>
          <w:numId w:val="1006"/>
        </w:numPr>
      </w:pPr>
      <w:r>
        <w:t xml:space="preserve">Вычислите (рис. 14).</w:t>
      </w:r>
    </w:p>
    <w:bookmarkStart w:id="85" w:name="fig:014"/>
    <w:p>
      <w:pPr>
        <w:pStyle w:val="CaptionedFigure"/>
      </w:pPr>
      <w:r>
        <w:drawing>
          <wp:inline>
            <wp:extent cx="3733800" cy="4309395"/>
            <wp:effectExtent b="0" l="0" r="0" t="0"/>
            <wp:docPr descr="Рис. 14: Приведение матриц к диагональному виду и вычисление" title="" id="83" name="Picture"/>
            <a:graphic>
              <a:graphicData uri="http://schemas.openxmlformats.org/drawingml/2006/picture">
                <pic:pic>
                  <pic:nvPicPr>
                    <pic:cNvPr descr="image/14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09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Приведение матриц к диагональному виду и вычисление</w:t>
      </w:r>
    </w:p>
    <w:bookmarkEnd w:id="85"/>
    <w:p>
      <w:pPr>
        <w:pStyle w:val="Compact"/>
        <w:numPr>
          <w:ilvl w:val="0"/>
          <w:numId w:val="1007"/>
        </w:numPr>
      </w:pPr>
      <w:r>
        <w:t xml:space="preserve">Найдите собственные значения матрицы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(рис. 14). Создайте диагональную матрицу из собственных значений матрицы</w:t>
      </w:r>
      <w:r>
        <w:t xml:space="preserve"> </w:t>
      </w:r>
      <m:oMath>
        <m:r>
          <m:t>A</m:t>
        </m:r>
      </m:oMath>
      <w:r>
        <w:t xml:space="preserve">. Создайте</w:t>
      </w:r>
      <w:r>
        <w:t xml:space="preserve"> </w:t>
      </w:r>
      <w:r>
        <w:t xml:space="preserve">нижнедиагональную матрицу из матрица</w:t>
      </w:r>
      <w:r>
        <w:t xml:space="preserve"> </w:t>
      </w:r>
      <m:oMath>
        <m:r>
          <m:t>A</m:t>
        </m:r>
      </m:oMath>
      <w:r>
        <w:t xml:space="preserve">. Оцените эффективность выполняемых</w:t>
      </w:r>
      <w:r>
        <w:t xml:space="preserve"> </w:t>
      </w:r>
      <w:r>
        <w:t xml:space="preserve">операций (рис. 15):</w:t>
      </w:r>
    </w:p>
    <w:bookmarkStart w:id="89" w:name="fig:015"/>
    <w:p>
      <w:pPr>
        <w:pStyle w:val="CaptionedFigure"/>
      </w:pPr>
      <w:r>
        <w:drawing>
          <wp:inline>
            <wp:extent cx="3733800" cy="3343275"/>
            <wp:effectExtent b="0" l="0" r="0" t="0"/>
            <wp:docPr descr="Рис. 15: Создание диагональной матрицы из собственных значений, нижнедиагональной матрицы, оценка эффективности" title="" id="87" name="Picture"/>
            <a:graphic>
              <a:graphicData uri="http://schemas.openxmlformats.org/drawingml/2006/picture">
                <pic:pic>
                  <pic:nvPicPr>
                    <pic:cNvPr descr="image/15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Создание диагональной матрицы из собственных значений, нижнедиагональной матрицы, оценка эффективности</w:t>
      </w:r>
    </w:p>
    <w:bookmarkEnd w:id="89"/>
    <w:bookmarkEnd w:id="90"/>
    <w:bookmarkStart w:id="103" w:name="линейные-модели-экономики"/>
    <w:p>
      <w:pPr>
        <w:pStyle w:val="Heading3"/>
      </w:pPr>
      <w:r>
        <w:rPr>
          <w:rStyle w:val="SectionNumber"/>
        </w:rPr>
        <w:t xml:space="preserve">3.7.4</w:t>
      </w:r>
      <w:r>
        <w:tab/>
      </w:r>
      <w:r>
        <w:t xml:space="preserve">Линейные модели экономики</w:t>
      </w:r>
    </w:p>
    <w:p>
      <w:pPr>
        <w:pStyle w:val="FirstParagraph"/>
      </w:pPr>
      <w:r>
        <w:t xml:space="preserve">Линейная модель экономики может быть записана как СЛАУ: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A</m:t>
        </m:r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,</w:t>
      </w:r>
      <w:r>
        <w:t xml:space="preserve"> </w:t>
      </w:r>
      <w:r>
        <w:t xml:space="preserve">где элементы матрицы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 столбца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неотрицательные числа. По своему смыслу в экономике элементы матрицы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 столбцов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не могут быть отрицательными числами (рис. 16)</w:t>
      </w:r>
    </w:p>
    <w:bookmarkStart w:id="94" w:name="fig:016"/>
    <w:p>
      <w:pPr>
        <w:pStyle w:val="CaptionedFigure"/>
      </w:pPr>
      <w:r>
        <w:drawing>
          <wp:inline>
            <wp:extent cx="3733800" cy="3419374"/>
            <wp:effectExtent b="0" l="0" r="0" t="0"/>
            <wp:docPr descr="Рис. 16: Создание функций" title="" id="92" name="Picture"/>
            <a:graphic>
              <a:graphicData uri="http://schemas.openxmlformats.org/drawingml/2006/picture">
                <pic:pic>
                  <pic:nvPicPr>
                    <pic:cNvPr descr="image/16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9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Создание функций</w:t>
      </w:r>
    </w:p>
    <w:bookmarkEnd w:id="94"/>
    <w:p>
      <w:pPr>
        <w:numPr>
          <w:ilvl w:val="0"/>
          <w:numId w:val="1008"/>
        </w:numPr>
      </w:pPr>
      <w:r>
        <w:t xml:space="preserve">Матрица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называется продуктивной, если решение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системы при любой неотрицательной правой части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имеет только неотрицательные элементы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 Используя это определение, проверьте, являются ли матрицы продуктивными(рис. 17).</w:t>
      </w:r>
    </w:p>
    <w:p>
      <w:pPr>
        <w:numPr>
          <w:ilvl w:val="0"/>
          <w:numId w:val="1008"/>
        </w:numPr>
      </w:pPr>
      <w:r>
        <w:t xml:space="preserve">Критерий продуктивности: матрица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является продуктивной тогда и только тогда, когда все элементы матрица: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E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rPr>
                <m:sty m:val="p"/>
              </m:rPr>
              <m:t>−</m:t>
            </m:r>
          </m:sup>
        </m:sSup>
        <m:r>
          <m:t>1</m:t>
        </m:r>
      </m:oMath>
      <w:r>
        <w:t xml:space="preserve"> </w:t>
      </w:r>
      <w:r>
        <w:t xml:space="preserve">являются неотрицательными числами. Используя этот критерий, проверьте, являются ли матрицы продуктивными (рис. 17).</w:t>
      </w:r>
    </w:p>
    <w:bookmarkStart w:id="98" w:name="fig:017"/>
    <w:p>
      <w:pPr>
        <w:pStyle w:val="CaptionedFigure"/>
      </w:pPr>
      <w:r>
        <w:drawing>
          <wp:inline>
            <wp:extent cx="3733800" cy="5471783"/>
            <wp:effectExtent b="0" l="0" r="0" t="0"/>
            <wp:docPr descr="Рис. 17: Проверка с помощью определения и критерия на продуктивность" title="" id="96" name="Picture"/>
            <a:graphic>
              <a:graphicData uri="http://schemas.openxmlformats.org/drawingml/2006/picture">
                <pic:pic>
                  <pic:nvPicPr>
                    <pic:cNvPr descr="image/17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71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Проверка с помощью определения и критерия на продуктивность</w:t>
      </w:r>
    </w:p>
    <w:bookmarkEnd w:id="98"/>
    <w:p>
      <w:pPr>
        <w:pStyle w:val="Compact"/>
        <w:numPr>
          <w:ilvl w:val="0"/>
          <w:numId w:val="1009"/>
        </w:numPr>
      </w:pPr>
      <w:r>
        <w:t xml:space="preserve">Спектральный критерий продуктивности: матрица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является продуктивной тогда и только тогда, когда все её собственные значения по модулю меньше 1. Используя этот критерий, проверьте, являются ли матрицы продуктивными (рис. 18).</w:t>
      </w:r>
    </w:p>
    <w:bookmarkStart w:id="102" w:name="fig:018"/>
    <w:p>
      <w:pPr>
        <w:pStyle w:val="CaptionedFigure"/>
      </w:pPr>
      <w:r>
        <w:drawing>
          <wp:inline>
            <wp:extent cx="3733800" cy="3514164"/>
            <wp:effectExtent b="0" l="0" r="0" t="0"/>
            <wp:docPr descr="Рис. 18: Проверка с помощью спектрального критерия" title="" id="100" name="Picture"/>
            <a:graphic>
              <a:graphicData uri="http://schemas.openxmlformats.org/drawingml/2006/picture">
                <pic:pic>
                  <pic:nvPicPr>
                    <pic:cNvPr descr="image/18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4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Проверка с помощью спектрального критерия</w:t>
      </w:r>
    </w:p>
    <w:bookmarkEnd w:id="102"/>
    <w:bookmarkEnd w:id="103"/>
    <w:bookmarkEnd w:id="104"/>
    <w:bookmarkEnd w:id="105"/>
    <w:bookmarkStart w:id="10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изучила возможности специализированных пакетов Julia для выполнения и оценки эффективности операций над объектами линейной алгебры.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4. Линейная алгебра</dc:title>
  <dc:creator>Абакумова Олеся Максимовна, НФИбд-02-22</dc:creator>
  <dc:language>ru-RU</dc:language>
  <cp:keywords/>
  <dcterms:created xsi:type="dcterms:W3CDTF">2025-10-25T18:17:43Z</dcterms:created>
  <dcterms:modified xsi:type="dcterms:W3CDTF">2025-10-25T18:17:43Z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