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28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120.png" ContentType="image/png"/>
  <Override PartName="/word/media/rId125.png" ContentType="image/png"/>
  <Override PartName="/word/media/rId129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8.png" ContentType="image/png"/>
  <Override PartName="/word/media/rId32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7. Введение в работу с данными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Julia для обработки</w:t>
      </w:r>
      <w:r>
        <w:t xml:space="preserve"> </w:t>
      </w:r>
      <w:r>
        <w:t xml:space="preserve">данных.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1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редварительные-свед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t xml:space="preserve">Обработка и анализ данных, полученных в результате проведения исследований, —</w:t>
      </w:r>
      <w:r>
        <w:t xml:space="preserve"> </w:t>
      </w:r>
      <w:r>
        <w:t xml:space="preserve">важная и неотъемлемая часть исследовательской деятельности. Большое значение имеет выявление определённых связей и закономерностей в имеющихся неструктурированных</w:t>
      </w:r>
      <w:r>
        <w:t xml:space="preserve"> </w:t>
      </w:r>
      <w:r>
        <w:t xml:space="preserve">данных, особенно в данных больших размерностей. Выявленные в данных связей и закономерностей позволяет строить прогнозные модели с предполагаемым результатом. Для решения таких задач применяют методы из таких областей знаний как математическая статистика, программирование, искусственный интеллект, машинное обучение.</w:t>
      </w:r>
    </w:p>
    <w:bookmarkEnd w:id="22"/>
    <w:bookmarkStart w:id="23" w:name="julia-для-науки-о-данных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Julia для науки о данных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bookmarkEnd w:id="23"/>
    <w:bookmarkStart w:id="40" w:name="считывание-данных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 откуда-то считать и возможно сохранить в определённой структуре.</w:t>
      </w:r>
      <w:r>
        <w:t xml:space="preserve"> </w:t>
      </w:r>
      <w:r>
        <w:t xml:space="preserve">Довольно часто данные для обработки содержаться в csv-файле, имеющим текстовый формат, в котором данные в строке разделены, например, запятыми, и соответствуют</w:t>
      </w:r>
      <w:r>
        <w:t xml:space="preserve"> </w:t>
      </w:r>
      <w:r>
        <w:t xml:space="preserve">ячейкам таблицы, а строки данных соответствуют строкам таблицы. Также данные могут быть представлены в виде фреймов или множеств.</w:t>
      </w:r>
      <w:r>
        <w:t xml:space="preserve"> </w:t>
      </w:r>
      <w:r>
        <w:t xml:space="preserve">В Julia для работы с такого рода структурами данных используют пакеты CSV,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FileIO</w:t>
      </w:r>
      <w:r>
        <w:t xml:space="preserve"> </w:t>
      </w:r>
      <w:r>
        <w:t xml:space="preserve">(рис. 1):</w:t>
      </w:r>
    </w:p>
    <w:bookmarkStart w:id="27" w:name="fig:001"/>
    <w:p>
      <w:pPr>
        <w:pStyle w:val="CaptionedFigure"/>
      </w:pPr>
      <w:r>
        <w:drawing>
          <wp:inline>
            <wp:extent cx="3733800" cy="1771613"/>
            <wp:effectExtent b="0" l="0" r="0" t="0"/>
            <wp:docPr descr="Рис. 1: Установка и подключение необходимых пакетов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и подключение необходимых пакетов</w:t>
      </w:r>
    </w:p>
    <w:bookmarkEnd w:id="27"/>
    <w:p>
      <w:pPr>
        <w:pStyle w:val="BodyText"/>
      </w:pPr>
      <w:r>
        <w:t xml:space="preserve">Предположим, что у вас в рабочем каталоге с проектом есть файл с данными</w:t>
      </w:r>
      <w:r>
        <w:t xml:space="preserve"> </w:t>
      </w:r>
      <w:r>
        <w:t xml:space="preserve">programminglanguages.csv, содержащий перечень языков программирования и год их создания. Тогда для заполнения массива данными для последующей обработки требуется</w:t>
      </w:r>
      <w:r>
        <w:t xml:space="preserve"> </w:t>
      </w:r>
      <w:r>
        <w:t xml:space="preserve">считать данные из исходного файла и записать их в соответствующую структуру (рис. 2):</w:t>
      </w:r>
    </w:p>
    <w:bookmarkStart w:id="31" w:name="fig:002"/>
    <w:p>
      <w:pPr>
        <w:pStyle w:val="CaptionedFigure"/>
      </w:pPr>
      <w:r>
        <w:drawing>
          <wp:inline>
            <wp:extent cx="2133600" cy="2419108"/>
            <wp:effectExtent b="0" l="0" r="0" t="0"/>
            <wp:docPr descr="Рис. 2: Считывание данных и их запись в структуру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41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Считывание данных и их запись в структуру</w:t>
      </w:r>
    </w:p>
    <w:bookmarkEnd w:id="31"/>
    <w:p>
      <w:pPr>
        <w:pStyle w:val="BodyText"/>
      </w:pPr>
      <w:r>
        <w:t xml:space="preserve">Далее приведём пример функции, в которой на входе указывается название языка</w:t>
      </w:r>
      <w:r>
        <w:t xml:space="preserve"> </w:t>
      </w:r>
      <w:r>
        <w:t xml:space="preserve">программирования, а на выходе — год его создания (рис. 3):</w:t>
      </w:r>
    </w:p>
    <w:bookmarkStart w:id="35" w:name="fig:003"/>
    <w:p>
      <w:pPr>
        <w:pStyle w:val="CaptionedFigure"/>
      </w:pPr>
      <w:r>
        <w:drawing>
          <wp:inline>
            <wp:extent cx="3733800" cy="3568541"/>
            <wp:effectExtent b="0" l="0" r="0" t="0"/>
            <wp:docPr descr="Рис. 3: Функция определения по названию языка программирования года его создания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Функция определения по названию языка программирования года его создания</w:t>
      </w:r>
    </w:p>
    <w:bookmarkEnd w:id="35"/>
    <w:p>
      <w:pPr>
        <w:pStyle w:val="BodyText"/>
      </w:pPr>
      <w:r>
        <w:t xml:space="preserve">В следующем примере (рис. 3) при вызове функции, в качестве аргумента которой указано слово julia, написанное со строчной буквы будет выдана ошибка, так как список не содержит таких данных.</w:t>
      </w:r>
    </w:p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 (рис. 4):</w:t>
      </w:r>
    </w:p>
    <w:bookmarkStart w:id="39" w:name="fig:004"/>
    <w:p>
      <w:pPr>
        <w:pStyle w:val="CaptionedFigure"/>
      </w:pPr>
      <w:r>
        <w:drawing>
          <wp:inline>
            <wp:extent cx="3733800" cy="5464854"/>
            <wp:effectExtent b="0" l="0" r="0" t="0"/>
            <wp:docPr descr="Рис. 4: Функция определения по названию языка программирования года его создания (без учёта регистра)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6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Функция определения по названию языка программирования года его создания (без учёта регистра)</w:t>
      </w:r>
    </w:p>
    <w:bookmarkEnd w:id="39"/>
    <w:p>
      <w:pPr>
        <w:pStyle w:val="BodyText"/>
      </w:pPr>
      <w:r>
        <w:t xml:space="preserve">Можно считывать данные построчно, с элементами, разделенными заданным разделителем (рис. 4).</w:t>
      </w:r>
    </w:p>
    <w:bookmarkEnd w:id="40"/>
    <w:bookmarkStart w:id="45" w:name="запись-данных-в-файл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 в формате CSV можно воспользоваться следующим вызовом (рис. 5):</w:t>
      </w:r>
    </w:p>
    <w:bookmarkStart w:id="44" w:name="fig:005"/>
    <w:p>
      <w:pPr>
        <w:pStyle w:val="CaptionedFigure"/>
      </w:pPr>
      <w:r>
        <w:drawing>
          <wp:inline>
            <wp:extent cx="3733800" cy="4997547"/>
            <wp:effectExtent b="0" l="0" r="0" t="0"/>
            <wp:docPr descr="Рис. 5: Запись данных в формате CSV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97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Запись данных в формате CSV</w:t>
      </w:r>
    </w:p>
    <w:bookmarkEnd w:id="44"/>
    <w:p>
      <w:pPr>
        <w:pStyle w:val="BodyText"/>
      </w:pPr>
      <w:r>
        <w:t xml:space="preserve">Можно проверить, используя</w:t>
      </w:r>
      <w:r>
        <w:t xml:space="preserve"> </w:t>
      </w:r>
      <w:r>
        <w:rPr>
          <w:rStyle w:val="VerbatimChar"/>
        </w:rPr>
        <w:t xml:space="preserve">readdlm</w:t>
      </w:r>
      <w:r>
        <w:t xml:space="preserve">, корректность считывания созданного текстового файла (рис. 5).</w:t>
      </w:r>
    </w:p>
    <w:bookmarkEnd w:id="45"/>
    <w:bookmarkStart w:id="50" w:name="словар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  <w:r>
        <w:t xml:space="preserve"> </w:t>
      </w:r>
      <w:r>
        <w:t xml:space="preserve">Предположим, что словарь должен содержать перечень всех языков программирования и года их создания, при этом при указании года выводить все языки программирования, созданные в этом году.</w:t>
      </w:r>
      <w:r>
        <w:t xml:space="preserve"> </w:t>
      </w:r>
      <w:r>
        <w:t xml:space="preserve">При инициализации словаря можно задать конкретные типы данных для ключей</w:t>
      </w:r>
      <w:r>
        <w:t xml:space="preserve"> </w:t>
      </w:r>
      <w:r>
        <w:t xml:space="preserve">и значений (рис. 6):</w:t>
      </w:r>
    </w:p>
    <w:bookmarkStart w:id="49" w:name="fig:006"/>
    <w:p>
      <w:pPr>
        <w:pStyle w:val="CaptionedFigure"/>
      </w:pPr>
      <w:r>
        <w:drawing>
          <wp:inline>
            <wp:extent cx="3733800" cy="2840241"/>
            <wp:effectExtent b="0" l="0" r="0" t="0"/>
            <wp:docPr descr="Рис. 6: Инициализаци словаря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Инициализаци словаря</w:t>
      </w:r>
    </w:p>
    <w:bookmarkEnd w:id="49"/>
    <w:p>
      <w:pPr>
        <w:pStyle w:val="BodyText"/>
      </w:pPr>
      <w:r>
        <w:t xml:space="preserve">Можно также инициировать пустой словарь, не задавая строго структуру (рис. 6).</w:t>
      </w:r>
    </w:p>
    <w:p>
      <w:pPr>
        <w:pStyle w:val="BodyText"/>
      </w:pPr>
      <w:r>
        <w:t xml:space="preserve">В последнем случае словарь принимает ключи и значения любого типа.</w:t>
      </w:r>
      <w:r>
        <w:t xml:space="preserve"> </w:t>
      </w:r>
      <w:r>
        <w:t xml:space="preserve">Далее требуется заполнить словарь ключами и годами, которые содержат все языки программирования, созданные в каждом году, в качестве значений, как показано на рис. 6.</w:t>
      </w:r>
    </w:p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году.</w:t>
      </w:r>
    </w:p>
    <w:bookmarkEnd w:id="50"/>
    <w:bookmarkStart w:id="59" w:name="dataframe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</w:t>
      </w:r>
      <w:r>
        <w:t xml:space="preserve"> </w:t>
      </w:r>
      <w:r>
        <w:t xml:space="preserve">На примере с данными о языках программирования и годах их создания зададим</w:t>
      </w:r>
      <w:r>
        <w:t xml:space="preserve"> </w:t>
      </w:r>
      <w:r>
        <w:t xml:space="preserve">структуру DataFrame (рис. 7):</w:t>
      </w:r>
    </w:p>
    <w:bookmarkStart w:id="54" w:name="fig:007"/>
    <w:p>
      <w:pPr>
        <w:pStyle w:val="CaptionedFigure"/>
      </w:pPr>
      <w:r>
        <w:drawing>
          <wp:inline>
            <wp:extent cx="3733800" cy="4990722"/>
            <wp:effectExtent b="0" l="0" r="0" t="0"/>
            <wp:docPr descr="Рис. 7: Подгрузка пакета и задача переменной со структурой DataFrame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9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Подгрузка пакета и задача переменной со структурой DataFrame</w:t>
      </w:r>
    </w:p>
    <w:bookmarkEnd w:id="54"/>
    <w:p>
      <w:pPr>
        <w:pStyle w:val="BodyText"/>
      </w:pPr>
      <w:r>
        <w:t xml:space="preserve">Если требуется получить доступ к столбцам по имени заголовка, то необходимо добавить к имени заголовка двоеточие (рис. 8):</w:t>
      </w:r>
    </w:p>
    <w:bookmarkStart w:id="58" w:name="fig:008"/>
    <w:p>
      <w:pPr>
        <w:pStyle w:val="CaptionedFigure"/>
      </w:pPr>
      <w:r>
        <w:drawing>
          <wp:inline>
            <wp:extent cx="3733800" cy="4476508"/>
            <wp:effectExtent b="0" l="0" r="0" t="0"/>
            <wp:docPr descr="Рис. 8: Получение доступа к столбцам по имени заголовка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Получение доступа к столбцам по имени заголовка</w:t>
      </w:r>
    </w:p>
    <w:bookmarkEnd w:id="58"/>
    <w:p>
      <w:pPr>
        <w:pStyle w:val="BodyText"/>
      </w:pPr>
      <w:r>
        <w:t xml:space="preserve">В Julia это означает, что имена заголовков обрабатываются как символы. Также следует</w:t>
      </w:r>
      <w:r>
        <w:t xml:space="preserve"> </w:t>
      </w:r>
      <w:r>
        <w:t xml:space="preserve">иметь в виду, что вызов</w:t>
      </w:r>
      <w:r>
        <w:t xml:space="preserve"> </w:t>
      </w:r>
      <w:r>
        <w:rPr>
          <w:rStyle w:val="VerbatimChar"/>
        </w:rPr>
        <w:t xml:space="preserve">df[1]</w:t>
      </w:r>
      <w:r>
        <w:t xml:space="preserve"> </w:t>
      </w:r>
      <w:r>
        <w:t xml:space="preserve">эквивалентен вызову df</w:t>
      </w:r>
      <w:r>
        <w:t xml:space="preserve"> </w:t>
      </w:r>
      <w:r>
        <w:rPr>
          <w:rStyle w:val="VerbatimChar"/>
        </w:rPr>
        <w:t xml:space="preserve">[:year]</w:t>
      </w:r>
      <w:r>
        <w:t xml:space="preserve">.</w:t>
      </w:r>
      <w:r>
        <w:t xml:space="preserve"> </w:t>
      </w:r>
      <w:r>
        <w:t xml:space="preserve">Пакет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предоставляет возможность с помощью description получить основные статистические сведения о каждом столбце во фрейме данных (рис. 8).</w:t>
      </w:r>
    </w:p>
    <w:bookmarkEnd w:id="59"/>
    <w:bookmarkStart w:id="68" w:name="rdataset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</w:t>
      </w:r>
      <w:r>
        <w:t xml:space="preserve"> </w:t>
      </w:r>
      <w:r>
        <w:rPr>
          <w:rStyle w:val="VerbatimChar"/>
        </w:rPr>
        <w:t xml:space="preserve">RDatasets</w:t>
      </w:r>
      <w:r>
        <w:t xml:space="preserve"> </w:t>
      </w:r>
      <w:r>
        <w:t xml:space="preserve">языка R (рис. 9):</w:t>
      </w:r>
    </w:p>
    <w:bookmarkStart w:id="63" w:name="fig:009"/>
    <w:p>
      <w:pPr>
        <w:pStyle w:val="CaptionedFigure"/>
      </w:pPr>
      <w:r>
        <w:drawing>
          <wp:inline>
            <wp:extent cx="3733800" cy="4356100"/>
            <wp:effectExtent b="0" l="0" r="0" t="0"/>
            <wp:docPr descr="Рис. 9: Подгрузка пакета RDatasets и задача структуры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Подгрузка пакета RDatasets и задача структуры</w:t>
      </w:r>
    </w:p>
    <w:bookmarkEnd w:id="63"/>
    <w:p>
      <w:pPr>
        <w:pStyle w:val="BodyText"/>
      </w:pPr>
      <w:r>
        <w:t xml:space="preserve">В данном случает набор данных содержит сведения о цветах. При этом следует иметь</w:t>
      </w:r>
      <w:r>
        <w:t xml:space="preserve"> </w:t>
      </w:r>
      <w:r>
        <w:t xml:space="preserve">в виду, что данные, загруженные с помощью набора данных, хранятся в виде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RDatasets</w:t>
      </w:r>
      <w:r>
        <w:t xml:space="preserve"> </w:t>
      </w:r>
      <w:r>
        <w:t xml:space="preserve">также предоставляет возможность с помощью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получить</w:t>
      </w:r>
      <w:r>
        <w:t xml:space="preserve"> </w:t>
      </w:r>
      <w:r>
        <w:t xml:space="preserve">основные статистические сведения о каждом столбце в наборе данных (рис. 10):</w:t>
      </w:r>
    </w:p>
    <w:bookmarkStart w:id="67" w:name="fig:010"/>
    <w:p>
      <w:pPr>
        <w:pStyle w:val="CaptionedFigure"/>
      </w:pPr>
      <w:r>
        <w:drawing>
          <wp:inline>
            <wp:extent cx="3733800" cy="2180746"/>
            <wp:effectExtent b="0" l="0" r="0" t="0"/>
            <wp:docPr descr="Рис. 10: Определение типа переменной и вывод статистических данных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Определение типа переменной и вывод статистических данных</w:t>
      </w:r>
    </w:p>
    <w:bookmarkEnd w:id="67"/>
    <w:bookmarkEnd w:id="68"/>
    <w:bookmarkStart w:id="77" w:name="X89a1aeecf2724b048b64f945d5464620886f56a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позволяет использовать так называемый «отсутствующий» тип.</w:t>
      </w:r>
      <w:r>
        <w:t xml:space="preserve"> </w:t>
      </w:r>
      <w:r>
        <w:t xml:space="preserve">В операции сложения числа и переменной с отсутствующим типом значение также</w:t>
      </w:r>
      <w:r>
        <w:t xml:space="preserve"> </w:t>
      </w:r>
      <w:r>
        <w:t xml:space="preserve">будет иметь отсутствующий тип. Приведём пример работы с данными, среди которых есть данные с отсутствующим</w:t>
      </w:r>
      <w:r>
        <w:t xml:space="preserve"> </w:t>
      </w:r>
      <w:r>
        <w:t xml:space="preserve">типом (рис. 11):</w:t>
      </w:r>
    </w:p>
    <w:bookmarkStart w:id="72" w:name="fig:011"/>
    <w:p>
      <w:pPr>
        <w:pStyle w:val="CaptionedFigure"/>
      </w:pPr>
      <w:r>
        <w:drawing>
          <wp:inline>
            <wp:extent cx="3733800" cy="4684346"/>
            <wp:effectExtent b="0" l="0" r="0" t="0"/>
            <wp:docPr descr="Рис. 11: Пример работы с данными с отсутствующим типом данных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 работы с данными с отсутствующим типом данных</w:t>
      </w:r>
    </w:p>
    <w:bookmarkEnd w:id="72"/>
    <w:p>
      <w:pPr>
        <w:pStyle w:val="BodyText"/>
      </w:pPr>
      <w:r>
        <w:t xml:space="preserve">При попытке получить среднее значение калорий, ничего не получится из-за наличия переменной с отсутствующим типом. Для решения этой проблемы необходимо игнорировать отсутствующий тип (рис. 11).</w:t>
      </w:r>
    </w:p>
    <w:p>
      <w:pPr>
        <w:pStyle w:val="BodyText"/>
      </w:pPr>
      <w:r>
        <w:t xml:space="preserve">Далее показано, как можно сформировать таблицы данных и объединить их в один</w:t>
      </w:r>
      <w:r>
        <w:t xml:space="preserve"> </w:t>
      </w:r>
      <w:r>
        <w:t xml:space="preserve">фрейм (рис. 12):</w:t>
      </w:r>
    </w:p>
    <w:bookmarkStart w:id="76" w:name="fig:012"/>
    <w:p>
      <w:pPr>
        <w:pStyle w:val="CaptionedFigure"/>
      </w:pPr>
      <w:r>
        <w:drawing>
          <wp:inline>
            <wp:extent cx="3733800" cy="2642381"/>
            <wp:effectExtent b="0" l="0" r="0" t="0"/>
            <wp:docPr descr="Рис. 12: Формирование таблицы данных и объединение их в один фрейм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Формирование таблицы данных и объединение их в один фрейм</w:t>
      </w:r>
    </w:p>
    <w:bookmarkEnd w:id="76"/>
    <w:bookmarkEnd w:id="77"/>
    <w:bookmarkStart w:id="82" w:name="fileio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</w:t>
      </w:r>
      <w:r>
        <w:t xml:space="preserve"> </w:t>
      </w:r>
      <w:r>
        <w:rPr>
          <w:rStyle w:val="VerbatimChar"/>
        </w:rPr>
        <w:t xml:space="preserve">FileIO</w:t>
      </w:r>
      <w:r>
        <w:t xml:space="preserve">. Julia хранит изображение в виде множества цветов, можно определить тип и размер данных (рис. 13):</w:t>
      </w:r>
    </w:p>
    <w:bookmarkStart w:id="81" w:name="fig:013"/>
    <w:p>
      <w:pPr>
        <w:pStyle w:val="CaptionedFigure"/>
      </w:pPr>
      <w:r>
        <w:drawing>
          <wp:inline>
            <wp:extent cx="3733800" cy="5197909"/>
            <wp:effectExtent b="0" l="0" r="0" t="0"/>
            <wp:docPr descr="Рис. 13: Подключение пакета FileIO и работа с изображением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7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Подключение пакета FileIO и работа с изображением</w:t>
      </w:r>
    </w:p>
    <w:bookmarkEnd w:id="81"/>
    <w:bookmarkEnd w:id="82"/>
    <w:bookmarkStart w:id="147" w:name="X31414573a20bcce67c6685f32924d2d9c4d5d98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Обработка данных: стандартные алгоритмы машинного обучения в Julia</w:t>
      </w:r>
    </w:p>
    <w:bookmarkStart w:id="115" w:name="кластеризация-данных.-метод-k-средних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Кластеризация данных. Метод k-средних</w:t>
      </w:r>
    </w:p>
    <w:p>
      <w:pPr>
        <w:pStyle w:val="FirstParagraph"/>
      </w:pPr>
      <w:r>
        <w:t xml:space="preserve">Задача кластеризации данных заключается в формировании однородной группы упо-</w:t>
      </w:r>
      <w:r>
        <w:t xml:space="preserve"> </w:t>
      </w:r>
      <w:r>
        <w:t xml:space="preserve">рядоченных по какому-то признаку данных.</w:t>
      </w:r>
      <w:r>
        <w:t xml:space="preserve"> </w:t>
      </w:r>
      <w:r>
        <w:t xml:space="preserve">Метод k-средних позволяет минимизировать суммарное квадратичное отклонение</w:t>
      </w:r>
      <w:r>
        <w:t xml:space="preserve"> </w:t>
      </w:r>
      <w:r>
        <w:t xml:space="preserve">точек кластеров от центров этих кластеров: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— полученные кластеры,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число кластеров,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центры масс (главные точки или объекты кластера) всех векторов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из кластера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 с данными houses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 SV содержит список транзакций с недвижимостью в районе Сакраменто, о которых было сообщено в течение определённого числа дней.</w:t>
      </w:r>
    </w:p>
    <w:p>
      <w:pPr>
        <w:pStyle w:val="BodyText"/>
      </w:pPr>
      <w:r>
        <w:t xml:space="preserve">Сначала подключим необходимые для работы пакеты и подгрузим данные (рис. 14):</w:t>
      </w:r>
    </w:p>
    <w:bookmarkStart w:id="86" w:name="fig:014"/>
    <w:p>
      <w:pPr>
        <w:pStyle w:val="CaptionedFigure"/>
      </w:pPr>
      <w:r>
        <w:drawing>
          <wp:inline>
            <wp:extent cx="3733800" cy="1630250"/>
            <wp:effectExtent b="0" l="0" r="0" t="0"/>
            <wp:docPr descr="Рис. 14: Подключение пакетов и подгрузка houses.csv" title="" id="84" name="Picture"/>
            <a:graphic>
              <a:graphicData uri="http://schemas.openxmlformats.org/drawingml/2006/picture">
                <pic:pic>
                  <pic:nvPicPr>
                    <pic:cNvPr descr="image/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 пакетов и подгрузка houses.csv</w:t>
      </w:r>
    </w:p>
    <w:bookmarkEnd w:id="86"/>
    <w:p>
      <w:pPr>
        <w:pStyle w:val="BodyText"/>
      </w:pPr>
      <w:r>
        <w:t xml:space="preserve">Построим графики:</w:t>
      </w:r>
    </w:p>
    <w:bookmarkStart w:id="90" w:name="fig:015"/>
    <w:p>
      <w:pPr>
        <w:pStyle w:val="CaptionedFigure"/>
      </w:pPr>
      <w:r>
        <w:drawing>
          <wp:inline>
            <wp:extent cx="3733800" cy="3071555"/>
            <wp:effectExtent b="0" l="0" r="0" t="0"/>
            <wp:docPr descr="Рис. 15: Цены на недвижимость в зависимости от площади" title="" id="88" name="Picture"/>
            <a:graphic>
              <a:graphicData uri="http://schemas.openxmlformats.org/drawingml/2006/picture">
                <pic:pic>
                  <pic:nvPicPr>
                    <pic:cNvPr descr="image/1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Цены на недвижимость в зависимости от площади</w:t>
      </w:r>
    </w:p>
    <w:bookmarkEnd w:id="90"/>
    <w:p>
      <w:pPr>
        <w:pStyle w:val="BodyText"/>
      </w:pPr>
      <w:r>
        <w:t xml:space="preserve">Как видно из графика на рис. 15, имеются так называемые «артефакты», т.е. проявляются отсутствующие или невозможные сведения в исходных данных, например, цены на</w:t>
      </w:r>
      <w:r>
        <w:t xml:space="preserve"> </w:t>
      </w:r>
      <w:r>
        <w:t xml:space="preserve">недвижимость нулевой площади.</w:t>
      </w:r>
    </w:p>
    <w:p>
      <w:pPr>
        <w:pStyle w:val="BodyText"/>
      </w:pPr>
      <w:r>
        <w:t xml:space="preserve">Для того чтобы избавиться от такого эффекта, можно отфильтровать и исключить такие</w:t>
      </w:r>
      <w:r>
        <w:t xml:space="preserve"> </w:t>
      </w:r>
      <w:r>
        <w:t xml:space="preserve">значения, получить более корректный график цен (рис. 16):</w:t>
      </w:r>
    </w:p>
    <w:bookmarkStart w:id="94" w:name="fig:016"/>
    <w:p>
      <w:pPr>
        <w:pStyle w:val="CaptionedFigure"/>
      </w:pPr>
      <w:r>
        <w:drawing>
          <wp:inline>
            <wp:extent cx="3733800" cy="3080860"/>
            <wp:effectExtent b="0" l="0" r="0" t="0"/>
            <wp:docPr descr="Рис. 16: Цены на недвижимость в зависимости от площади (исключены артефакты данных)" title="" id="92" name="Picture"/>
            <a:graphic>
              <a:graphicData uri="http://schemas.openxmlformats.org/drawingml/2006/picture">
                <pic:pic>
                  <pic:nvPicPr>
                    <pic:cNvPr descr="image/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Цены на недвижимость в зависимости от площади (исключены артефакты данных)</w:t>
      </w:r>
    </w:p>
    <w:bookmarkEnd w:id="94"/>
    <w:p>
      <w:pPr>
        <w:pStyle w:val="BodyText"/>
      </w:pPr>
      <w:r>
        <w:t xml:space="preserve">Используя для фильтрации значений функцию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и для вычисления</w:t>
      </w:r>
      <w:r>
        <w:t xml:space="preserve"> </w:t>
      </w:r>
      <w:r>
        <w:t xml:space="preserve">среднего значения функцию mean пакета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 можно посмотреть среднюю цену</w:t>
      </w:r>
      <w:r>
        <w:t xml:space="preserve"> </w:t>
      </w:r>
      <w:r>
        <w:t xml:space="preserve">домов определённого типа (рис. 17):</w:t>
      </w:r>
    </w:p>
    <w:bookmarkStart w:id="98" w:name="fig:017"/>
    <w:p>
      <w:pPr>
        <w:pStyle w:val="CaptionedFigure"/>
      </w:pPr>
      <w:r>
        <w:drawing>
          <wp:inline>
            <wp:extent cx="3733800" cy="3706899"/>
            <wp:effectExtent b="0" l="0" r="0" t="0"/>
            <wp:docPr descr="Рис. 17: Подключение пакета Clustering и добавление в новый фрейм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Подключение пакета Clustering и добавление в новый фрейм</w:t>
      </w:r>
    </w:p>
    <w:bookmarkEnd w:id="98"/>
    <w:p>
      <w:pPr>
        <w:pStyle w:val="BodyText"/>
      </w:pPr>
      <w:r>
        <w:t xml:space="preserve">Каждая функция хранится в виде строки X, но можно транспонировать получившуюся</w:t>
      </w:r>
      <w:r>
        <w:t xml:space="preserve"> </w:t>
      </w:r>
      <w:r>
        <w:t xml:space="preserve">матрицу, чтобы иметь возможность работать с столбцами данных X.В качестве критерия для формирования кластеров данных и определения количества</w:t>
      </w:r>
      <w:r>
        <w:t xml:space="preserve"> </w:t>
      </w:r>
      <w:r>
        <w:t xml:space="preserve">кластеров попробуем использовать количество почтовых индексов.Для определения k-среднего можно воспользоваться соответствующей функцией пакета Statistics (рис. 18):</w:t>
      </w:r>
    </w:p>
    <w:bookmarkStart w:id="102" w:name="fig:018"/>
    <w:p>
      <w:pPr>
        <w:pStyle w:val="CaptionedFigure"/>
      </w:pPr>
      <w:r>
        <w:drawing>
          <wp:inline>
            <wp:extent cx="3733800" cy="3409700"/>
            <wp:effectExtent b="0" l="0" r="0" t="0"/>
            <wp:docPr descr="Рис. 18: Подготовка данных и использование функции kmeans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Подготовка данных и использование функции kmeans</w:t>
      </w:r>
    </w:p>
    <w:bookmarkEnd w:id="102"/>
    <w:p>
      <w:pPr>
        <w:pStyle w:val="BodyText"/>
      </w:pPr>
      <w:r>
        <w:t xml:space="preserve">Далее сформируем новый фрейм, включающий исходные данные о недвижимости</w:t>
      </w:r>
      <w:r>
        <w:t xml:space="preserve"> </w:t>
      </w:r>
      <w:r>
        <w:t xml:space="preserve">и столбец с данными о назначенном каждому дому кластере (рис. 19):</w:t>
      </w:r>
    </w:p>
    <w:bookmarkStart w:id="106" w:name="fig:019"/>
    <w:p>
      <w:pPr>
        <w:pStyle w:val="CaptionedFigure"/>
      </w:pPr>
      <w:r>
        <w:drawing>
          <wp:inline>
            <wp:extent cx="3733800" cy="2561775"/>
            <wp:effectExtent b="0" l="0" r="0" t="0"/>
            <wp:docPr descr="Рис. 19: Формирование нового фрейма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Формирование нового фрейма</w:t>
      </w:r>
    </w:p>
    <w:bookmarkEnd w:id="106"/>
    <w:p>
      <w:pPr>
        <w:pStyle w:val="BodyText"/>
      </w:pPr>
      <w:r>
        <w:t xml:space="preserve">Построим график, обозначив каждый кластер отдельным цветом (рис. 20):</w:t>
      </w:r>
    </w:p>
    <w:bookmarkStart w:id="110" w:name="fig:020"/>
    <w:p>
      <w:pPr>
        <w:pStyle w:val="CaptionedFigure"/>
      </w:pPr>
      <w:r>
        <w:drawing>
          <wp:inline>
            <wp:extent cx="3733800" cy="3599994"/>
            <wp:effectExtent b="0" l="0" r="0" t="0"/>
            <wp:docPr descr="Рис. 20: Пример кластеризации объектов недвижимости по географическому расположению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Пример кластеризации объектов недвижимости по географическому расположению</w:t>
      </w:r>
    </w:p>
    <w:bookmarkEnd w:id="110"/>
    <w:p>
      <w:pPr>
        <w:pStyle w:val="BodyText"/>
      </w:pPr>
      <w:r>
        <w:t xml:space="preserve">Построим график, раскрасив кластеры по почтовому индексу (рис. 21):</w:t>
      </w:r>
    </w:p>
    <w:bookmarkStart w:id="114" w:name="fig:021"/>
    <w:p>
      <w:pPr>
        <w:pStyle w:val="CaptionedFigure"/>
      </w:pPr>
      <w:r>
        <w:drawing>
          <wp:inline>
            <wp:extent cx="3733800" cy="3407833"/>
            <wp:effectExtent b="0" l="0" r="0" t="0"/>
            <wp:docPr descr="Рис. 21: Пример кластеризации объектов недвижимости по почтовому индексу" title="" id="112" name="Picture"/>
            <a:graphic>
              <a:graphicData uri="http://schemas.openxmlformats.org/drawingml/2006/picture">
                <pic:pic>
                  <pic:nvPicPr>
                    <pic:cNvPr descr="image/2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Пример кластеризации объектов недвижимости по почтовому индексу</w:t>
      </w:r>
    </w:p>
    <w:bookmarkEnd w:id="114"/>
    <w:bookmarkEnd w:id="115"/>
    <w:bookmarkStart w:id="124" w:name="X0d9bfdd64ceeab1c77014be60a57394fb54210a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Кластеризация данных. Метод k ближайших соседей</w:t>
      </w:r>
    </w:p>
    <w:p>
      <w:pPr>
        <w:pStyle w:val="FirstParagraph"/>
      </w:pPr>
      <w:r>
        <w:t xml:space="preserve">Данный метод заключается в отнесении объекта к тому из известных классов, который является наиболее распространённым среди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соседей данного элемента. В случае</w:t>
      </w:r>
      <w:r>
        <w:t xml:space="preserve"> </w:t>
      </w:r>
      <w:r>
        <w:t xml:space="preserve">использования метода для регрессии, объекту присваивается среднее значение по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ближайшим к нему объектам.</w:t>
      </w:r>
      <w:r>
        <w:t xml:space="preserve"> </w:t>
      </w:r>
      <w:r>
        <w:t xml:space="preserve">Рассмотрим использование метода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ближайших соседей на примере того же файла</w:t>
      </w:r>
      <w:r>
        <w:t xml:space="preserve"> </w:t>
      </w:r>
      <w:r>
        <w:t xml:space="preserve">с данными об объектах недвижимости в Сакраменто.Подключим необходимый пакет, найдем</w:t>
      </w:r>
      <w:r>
        <w:t xml:space="preserve"> </w:t>
      </w:r>
      <m:oMath>
        <m:r>
          <m:t>k</m:t>
        </m:r>
      </m:oMath>
      <w:r>
        <w:t xml:space="preserve">-среднее и определим ближайших соседей (рис. 22):</w:t>
      </w:r>
    </w:p>
    <w:bookmarkStart w:id="119" w:name="fig:022"/>
    <w:p>
      <w:pPr>
        <w:pStyle w:val="CaptionedFigure"/>
      </w:pPr>
      <w:r>
        <w:drawing>
          <wp:inline>
            <wp:extent cx="3733800" cy="2130327"/>
            <wp:effectExtent b="0" l="0" r="0" t="0"/>
            <wp:docPr descr="Рис. 22: Подключение и спользование пакета NearestNeighbors" title="" id="117" name="Picture"/>
            <a:graphic>
              <a:graphicData uri="http://schemas.openxmlformats.org/drawingml/2006/picture">
                <pic:pic>
                  <pic:nvPicPr>
                    <pic:cNvPr descr="image/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Подключение и спользование пакета NearestNeighbors</w:t>
      </w:r>
    </w:p>
    <w:bookmarkEnd w:id="119"/>
    <w:p>
      <w:pPr>
        <w:pStyle w:val="BodyText"/>
      </w:pPr>
      <w:r>
        <w:t xml:space="preserve">Отобразим на графике соседей выбранного объекта недвижимости и отфильтруем по районам соседних домов (рис. 23):</w:t>
      </w:r>
    </w:p>
    <w:bookmarkStart w:id="123" w:name="fig:023"/>
    <w:p>
      <w:pPr>
        <w:pStyle w:val="CaptionedFigure"/>
      </w:pPr>
      <w:r>
        <w:drawing>
          <wp:inline>
            <wp:extent cx="3733800" cy="5206097"/>
            <wp:effectExtent b="0" l="0" r="0" t="0"/>
            <wp:docPr descr="Рис. 23: Определение соседей объекта недвижимости на графике и фильтрация по районам" title="" id="121" name="Picture"/>
            <a:graphic>
              <a:graphicData uri="http://schemas.openxmlformats.org/drawingml/2006/picture">
                <pic:pic>
                  <pic:nvPicPr>
                    <pic:cNvPr descr="image/2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Определение соседей объекта недвижимости на графике и фильтрация по районам</w:t>
      </w:r>
    </w:p>
    <w:bookmarkEnd w:id="123"/>
    <w:bookmarkEnd w:id="124"/>
    <w:bookmarkStart w:id="133" w:name="X40edbf6e18af6cf91fc10a1acfaf533c411aeef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</w:t>
      </w:r>
      <w:r>
        <w:t xml:space="preserve"> </w:t>
      </w:r>
      <w:r>
        <w:t xml:space="preserve">размерность данных, потеряв наименьшее количество полезной информации. Метод</w:t>
      </w:r>
      <w:r>
        <w:t xml:space="preserve"> </w:t>
      </w:r>
      <w:r>
        <w:t xml:space="preserve">имеет широкое применение в различных областях знаний, например, при визуализации</w:t>
      </w:r>
      <w:r>
        <w:t xml:space="preserve"> </w:t>
      </w:r>
      <w:r>
        <w:t xml:space="preserve">данных, компрессии изображений, в эконометрике, некоторых гуманитарных предмет-</w:t>
      </w:r>
      <w:r>
        <w:t xml:space="preserve"> </w:t>
      </w:r>
      <w:r>
        <w:t xml:space="preserve">ных областях, например, в социологии или в политологии.</w:t>
      </w:r>
    </w:p>
    <w:p>
      <w:pPr>
        <w:pStyle w:val="BodyText"/>
      </w:pPr>
      <w:r>
        <w:t xml:space="preserve">На примере с данными о недвижимости попробуем уменьшить размеры данных о цене</w:t>
      </w:r>
      <w:r>
        <w:t xml:space="preserve"> </w:t>
      </w:r>
      <w:r>
        <w:t xml:space="preserve">и площади из набора данных домов. Далее подключим пакет MultivariateStats, чтобы использовать метод главных компонент (рис. 24):</w:t>
      </w:r>
    </w:p>
    <w:bookmarkStart w:id="128" w:name="fig:024"/>
    <w:p>
      <w:pPr>
        <w:pStyle w:val="CaptionedFigure"/>
      </w:pPr>
      <w:r>
        <w:drawing>
          <wp:inline>
            <wp:extent cx="3733800" cy="4568912"/>
            <wp:effectExtent b="0" l="0" r="0" t="0"/>
            <wp:docPr descr="Рис. 24: Уменьшение размеров даных о цене и площади, и подключение пакета MultivariateStats" title="" id="126" name="Picture"/>
            <a:graphic>
              <a:graphicData uri="http://schemas.openxmlformats.org/drawingml/2006/picture">
                <pic:pic>
                  <pic:nvPicPr>
                    <pic:cNvPr descr="image/2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Уменьшение размеров даных о цене и площади, и подключение пакета MultivariateStats</w:t>
      </w:r>
    </w:p>
    <w:bookmarkEnd w:id="128"/>
    <w:p>
      <w:pPr>
        <w:pStyle w:val="BodyText"/>
      </w:pPr>
      <w:r>
        <w:t xml:space="preserve">Использована функция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и приведём имеющийся набор данных</w:t>
      </w:r>
      <w:r>
        <w:t xml:space="preserve"> </w:t>
      </w:r>
      <w:r>
        <w:t xml:space="preserve">к распределению, к которому можно применить метод главных компонент (PCA).</w:t>
      </w:r>
    </w:p>
    <w:p>
      <w:pPr>
        <w:pStyle w:val="BodyText"/>
      </w:pPr>
      <w:r>
        <w:t xml:space="preserve">Далее воспользуемся функцией</w:t>
      </w:r>
      <w:r>
        <w:t xml:space="preserve"> </w:t>
      </w:r>
      <w:r>
        <w:rPr>
          <w:rStyle w:val="VerbatimChar"/>
        </w:rPr>
        <w:t xml:space="preserve">reconstruct</w:t>
      </w:r>
      <w:r>
        <w:t xml:space="preserve">, чтобы выделить данные с главными</w:t>
      </w:r>
      <w:r>
        <w:t xml:space="preserve"> </w:t>
      </w:r>
      <w:r>
        <w:t xml:space="preserve">компонентами в отдельную переменную</w:t>
      </w:r>
      <w:r>
        <w:t xml:space="preserve"> </w:t>
      </w:r>
      <w:r>
        <w:rPr>
          <w:rStyle w:val="VerbatimChar"/>
        </w:rPr>
        <w:t xml:space="preserve">Xr</w:t>
      </w:r>
      <w:r>
        <w:t xml:space="preserve">, значения которой в последствии можно</w:t>
      </w:r>
      <w:r>
        <w:t xml:space="preserve"> </w:t>
      </w:r>
      <w:r>
        <w:t xml:space="preserve">вывести на графике (рис. 25):</w:t>
      </w:r>
    </w:p>
    <w:bookmarkStart w:id="132" w:name="fig:025"/>
    <w:p>
      <w:pPr>
        <w:pStyle w:val="CaptionedFigure"/>
      </w:pPr>
      <w:r>
        <w:drawing>
          <wp:inline>
            <wp:extent cx="3733800" cy="2889587"/>
            <wp:effectExtent b="0" l="0" r="0" t="0"/>
            <wp:docPr descr="Рис. 25: Определение главных компонент для данных по объектам недвижимости" title="" id="130" name="Picture"/>
            <a:graphic>
              <a:graphicData uri="http://schemas.openxmlformats.org/drawingml/2006/picture">
                <pic:pic>
                  <pic:nvPicPr>
                    <pic:cNvPr descr="image/2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Определение главных компонент для данных по объектам недвижимости</w:t>
      </w:r>
    </w:p>
    <w:bookmarkEnd w:id="132"/>
    <w:bookmarkEnd w:id="133"/>
    <w:bookmarkStart w:id="146" w:name="обработка-данных.-линейная-регрессия"/>
    <w:p>
      <w:pPr>
        <w:pStyle w:val="Heading3"/>
      </w:pPr>
      <w:r>
        <w:rPr>
          <w:rStyle w:val="SectionNumber"/>
        </w:rPr>
        <w:t xml:space="preserve">3.10.4</w:t>
      </w:r>
      <w:r>
        <w:tab/>
      </w:r>
      <w:r>
        <w:t xml:space="preserve">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иссле-</w:t>
      </w:r>
      <w:r>
        <w:t xml:space="preserve"> </w:t>
      </w:r>
      <w:r>
        <w:t xml:space="preserve">дования влияния одной или нескольких независимых переменных (регрессоров) на</w:t>
      </w:r>
      <w:r>
        <w:t xml:space="preserve"> </w:t>
      </w:r>
      <w:r>
        <w:t xml:space="preserve">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причинно-следственные отношения.</w:t>
      </w:r>
    </w:p>
    <w:p>
      <w:pPr>
        <w:pStyle w:val="BodyText"/>
      </w:pPr>
      <w:r>
        <w:t xml:space="preserve">Наиболее распространённый вид регрессионного анализа — линейная регрессия, когда</w:t>
      </w:r>
      <w:r>
        <w:t xml:space="preserve"> </w:t>
      </w:r>
      <w:r>
        <w:t xml:space="preserve">находят линейную функцию, которая согласно определённым математическим критериям наиболее соответствует данным.</w:t>
      </w:r>
    </w:p>
    <w:p>
      <w:pPr>
        <w:pStyle w:val="BodyText"/>
      </w:pPr>
      <w:r>
        <w:t xml:space="preserve">Зададим случайный набор данных (можно использовать и полученные экспериментальным путём какие-то данные). Попробуем найти для данных лучшее соответствие (рис. 26):</w:t>
      </w:r>
    </w:p>
    <w:bookmarkStart w:id="137" w:name="fig:026"/>
    <w:p>
      <w:pPr>
        <w:pStyle w:val="CaptionedFigure"/>
      </w:pPr>
      <w:r>
        <w:drawing>
          <wp:inline>
            <wp:extent cx="3733800" cy="4042476"/>
            <wp:effectExtent b="0" l="0" r="0" t="0"/>
            <wp:docPr descr="Рис. 26: Исходные данные" title="" id="135" name="Picture"/>
            <a:graphic>
              <a:graphicData uri="http://schemas.openxmlformats.org/drawingml/2006/picture">
                <pic:pic>
                  <pic:nvPicPr>
                    <pic:cNvPr descr="image/2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Исходные данные</w:t>
      </w:r>
    </w:p>
    <w:bookmarkEnd w:id="137"/>
    <w:p>
      <w:pPr>
        <w:pStyle w:val="BodyText"/>
      </w:pPr>
      <w:r>
        <w:t xml:space="preserve">Выше также определена функция линейной регрессии (рис. 26).</w:t>
      </w:r>
    </w:p>
    <w:p>
      <w:pPr>
        <w:pStyle w:val="BodyText"/>
      </w:pPr>
      <w:r>
        <w:t xml:space="preserve">Применим функцию линейной регрессии для построения соответствующего графика</w:t>
      </w:r>
      <w:r>
        <w:t xml:space="preserve"> </w:t>
      </w:r>
      <w:r>
        <w:t xml:space="preserve">значений, сгенерируем больший набор данных (рис. 27):</w:t>
      </w:r>
    </w:p>
    <w:bookmarkStart w:id="141" w:name="fig:027"/>
    <w:p>
      <w:pPr>
        <w:pStyle w:val="CaptionedFigure"/>
      </w:pPr>
      <w:r>
        <w:drawing>
          <wp:inline>
            <wp:extent cx="3733800" cy="4546065"/>
            <wp:effectExtent b="0" l="0" r="0" t="0"/>
            <wp:docPr descr="Рис. 27: Линейная регрессия" title="" id="139" name="Picture"/>
            <a:graphic>
              <a:graphicData uri="http://schemas.openxmlformats.org/drawingml/2006/picture">
                <pic:pic>
                  <pic:nvPicPr>
                    <pic:cNvPr descr="image/2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Линейная регрессия</w:t>
      </w:r>
    </w:p>
    <w:bookmarkEnd w:id="141"/>
    <w:p>
      <w:pPr>
        <w:pStyle w:val="BodyText"/>
      </w:pPr>
      <w:r>
        <w:t xml:space="preserve">Определим, сколько времени потребуется, чтобы найти соответствие этим данным,для сравнения реализуем подобный код на языке Python (рис. 28):</w:t>
      </w:r>
    </w:p>
    <w:bookmarkStart w:id="145" w:name="fig:028"/>
    <w:p>
      <w:pPr>
        <w:pStyle w:val="CaptionedFigure"/>
      </w:pPr>
      <w:r>
        <w:drawing>
          <wp:inline>
            <wp:extent cx="3733800" cy="4536448"/>
            <wp:effectExtent b="0" l="0" r="0" t="0"/>
            <wp:docPr descr="Рис. 28: Подобный код на языке Python" title="" id="143" name="Picture"/>
            <a:graphic>
              <a:graphicData uri="http://schemas.openxmlformats.org/drawingml/2006/picture">
                <pic:pic>
                  <pic:nvPicPr>
                    <pic:cNvPr descr="image/28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Подобный код на языке Python</w:t>
      </w:r>
    </w:p>
    <w:bookmarkEnd w:id="145"/>
    <w:bookmarkEnd w:id="146"/>
    <w:bookmarkEnd w:id="147"/>
    <w:bookmarkStart w:id="180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Задания для самостоятельного выполнения</w:t>
      </w:r>
    </w:p>
    <w:p>
      <w:pPr>
        <w:pStyle w:val="Compact"/>
        <w:numPr>
          <w:ilvl w:val="0"/>
          <w:numId w:val="1002"/>
        </w:numPr>
      </w:pPr>
      <w:r>
        <w:t xml:space="preserve">Загрузите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Clustering.jl</w:t>
      </w:r>
      <w:r>
        <w:t xml:space="preserve"> </w:t>
      </w:r>
      <w:r>
        <w:t xml:space="preserve">для кластеризации на основе k-средних. Сделайте точечную диаграмму полученных кластеров.</w:t>
      </w:r>
      <w:r>
        <w:t xml:space="preserve"> </w:t>
      </w:r>
      <w:r>
        <w:t xml:space="preserve">Подсказка: вам нужно будет проиндексировать фрейм данных, преобразовать его</w:t>
      </w:r>
      <w:r>
        <w:t xml:space="preserve"> </w:t>
      </w:r>
      <w:r>
        <w:t xml:space="preserve">в массив и транспонировать.</w:t>
      </w:r>
    </w:p>
    <w:bookmarkStart w:id="151" w:name="fig:029"/>
    <w:p>
      <w:pPr>
        <w:pStyle w:val="CaptionedFigure"/>
      </w:pPr>
      <w:r>
        <w:drawing>
          <wp:inline>
            <wp:extent cx="3733800" cy="2669388"/>
            <wp:effectExtent b="0" l="0" r="0" t="0"/>
            <wp:docPr descr="Рис. 29: Задание № 1" title="" id="149" name="Picture"/>
            <a:graphic>
              <a:graphicData uri="http://schemas.openxmlformats.org/drawingml/2006/picture">
                <pic:pic>
                  <pic:nvPicPr>
                    <pic:cNvPr descr="image/2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№ 1</w:t>
      </w:r>
    </w:p>
    <w:bookmarkEnd w:id="151"/>
    <w:p>
      <w:pPr>
        <w:pStyle w:val="SourceCode"/>
      </w:pPr>
      <w:r>
        <w:rPr>
          <w:rStyle w:val="CommentTok"/>
        </w:rPr>
        <w:t xml:space="preserve"># Часть 1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# Часть 2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Часть 1</w:t>
      </w:r>
      <w:r>
        <w:t xml:space="preserve"> </w:t>
      </w:r>
      <w:r>
        <w:t xml:space="preserve">Пусть регрессионная зависимость является линейной.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randn (N, 3), массив результатов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 Найдите МНК-оценку для линейной модели.</w:t>
      </w:r>
    </w:p>
    <w:p>
      <w:pPr>
        <w:numPr>
          <w:ilvl w:val="0"/>
          <w:numId w:val="1004"/>
        </w:numPr>
      </w:pPr>
      <w:r>
        <w:t xml:space="preserve">Сравните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 </w:t>
      </w:r>
      <w:r>
        <w:t xml:space="preserve">(просмотрите документацию).</w:t>
      </w:r>
    </w:p>
    <w:p>
      <w:pPr>
        <w:numPr>
          <w:ilvl w:val="0"/>
          <w:numId w:val="1004"/>
        </w:numPr>
      </w:pPr>
      <w:r>
        <w:t xml:space="preserve">Сравните свои результаты с результатами использования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GLN.jl</w:t>
      </w:r>
      <w:r>
        <w:t xml:space="preserve">.</w:t>
      </w:r>
    </w:p>
    <w:p>
      <w:pPr>
        <w:pStyle w:val="FirstParagraph"/>
      </w:pPr>
      <w:r>
        <w:t xml:space="preserve">Подсказка. Создайте матрицу данных</w:t>
      </w:r>
      <w:r>
        <w:t xml:space="preserve"> </w:t>
      </w:r>
      <w:r>
        <w:rPr>
          <w:rStyle w:val="VerbatimChar"/>
        </w:rPr>
        <w:t xml:space="preserve">X2</w:t>
      </w:r>
      <w:r>
        <w:t xml:space="preserve">, которая добавляет столбец единиц в начало матрицы данных, и решите систему линейных уравнений. Объясните с помощью теоретических выкладок.</w:t>
      </w:r>
    </w:p>
    <w:p>
      <w:pPr>
        <w:pStyle w:val="BodyText"/>
      </w:pPr>
      <w:r>
        <w:rPr>
          <w:b/>
          <w:bCs/>
        </w:rPr>
        <w:t xml:space="preserve">Часть 2</w:t>
      </w:r>
      <w:r>
        <w:t xml:space="preserve"> </w:t>
      </w:r>
      <w:r>
        <w:t xml:space="preserve">Найдите линию регрессии, используя данные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Постройте график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используя точечный график. Добавьте линию регрессии, используя</w:t>
      </w:r>
      <w:r>
        <w:t xml:space="preserve"> </w:t>
      </w:r>
      <w:r>
        <w:rPr>
          <w:rStyle w:val="VerbatimChar"/>
        </w:rPr>
        <w:t xml:space="preserve">abline!</w:t>
      </w:r>
      <w:r>
        <w:t xml:space="preserve">. Добавьте заголовок «График регрессии» и подпишите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bookmarkStart w:id="155" w:name="fig:030"/>
    <w:p>
      <w:pPr>
        <w:pStyle w:val="CaptionedFigure"/>
      </w:pPr>
      <w:r>
        <w:drawing>
          <wp:inline>
            <wp:extent cx="3733800" cy="1990521"/>
            <wp:effectExtent b="0" l="0" r="0" t="0"/>
            <wp:docPr descr="Рис. 30: Часть 1 задачи № 2" title="" id="153" name="Picture"/>
            <a:graphic>
              <a:graphicData uri="http://schemas.openxmlformats.org/drawingml/2006/picture">
                <pic:pic>
                  <pic:nvPicPr>
                    <pic:cNvPr descr="image/30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Часть 1 задачи № 2</w:t>
      </w:r>
    </w:p>
    <w:bookmarkEnd w:id="155"/>
    <w:bookmarkStart w:id="159" w:name="fig:031"/>
    <w:p>
      <w:pPr>
        <w:pStyle w:val="CaptionedFigure"/>
      </w:pPr>
      <w:r>
        <w:drawing>
          <wp:inline>
            <wp:extent cx="3733800" cy="3341616"/>
            <wp:effectExtent b="0" l="0" r="0" t="0"/>
            <wp:docPr descr="Рис. 31: Часть 2 задачи № 2" title="" id="157" name="Picture"/>
            <a:graphic>
              <a:graphicData uri="http://schemas.openxmlformats.org/drawingml/2006/picture">
                <pic:pic>
                  <pic:nvPicPr>
                    <pic:cNvPr descr="image/3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Часть 2 задачи № 2</w:t>
      </w:r>
    </w:p>
    <w:bookmarkEnd w:id="159"/>
    <w:p>
      <w:pPr>
        <w:pStyle w:val="Compact"/>
        <w:numPr>
          <w:ilvl w:val="0"/>
          <w:numId w:val="1005"/>
        </w:numPr>
      </w:pPr>
      <w:r>
        <w:t xml:space="preserve">Постройте траекторию возможных цен на акции:</w:t>
      </w:r>
    </w:p>
    <w:p>
      <w:pPr>
        <w:numPr>
          <w:ilvl w:val="0"/>
          <w:numId w:val="1006"/>
        </w:numPr>
      </w:pPr>
      <m:oMath>
        <m:r>
          <m:t>S</m:t>
        </m:r>
      </m:oMath>
      <w:r>
        <w:t xml:space="preserve"> </w:t>
      </w:r>
      <w:r>
        <w:t xml:space="preserve">— начальная цена акции;</w:t>
      </w:r>
    </w:p>
    <w:p>
      <w:pPr>
        <w:numPr>
          <w:ilvl w:val="0"/>
          <w:numId w:val="1006"/>
        </w:numPr>
      </w:pPr>
      <m:oMath>
        <m:r>
          <m:t>T</m:t>
        </m:r>
      </m:oMath>
      <w:r>
        <w:t xml:space="preserve"> </w:t>
      </w:r>
      <w:r>
        <w:t xml:space="preserve">— длина биномиального дерева в годах;</w:t>
      </w:r>
    </w:p>
    <w:p>
      <w:pPr>
        <w:numPr>
          <w:ilvl w:val="0"/>
          <w:numId w:val="1006"/>
        </w:numPr>
      </w:pPr>
      <m:oMath>
        <m:r>
          <m:t>n</m:t>
        </m:r>
      </m:oMath>
      <w:r>
        <w:t xml:space="preserve"> </w:t>
      </w:r>
      <w:r>
        <w:t xml:space="preserve">— количество периодов;</w:t>
      </w:r>
    </w:p>
    <w:p>
      <w:pPr>
        <w:numPr>
          <w:ilvl w:val="0"/>
          <w:numId w:val="1006"/>
        </w:numPr>
      </w:pP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— длина одного периода;</w:t>
      </w:r>
    </w:p>
    <w:p>
      <w:pPr>
        <w:numPr>
          <w:ilvl w:val="0"/>
          <w:numId w:val="1006"/>
        </w:numPr>
      </w:pPr>
      <m:oMath>
        <m:r>
          <m:t>σ</m:t>
        </m:r>
      </m:oMath>
      <w:r>
        <w:t xml:space="preserve"> </w:t>
      </w:r>
      <w:r>
        <w:t xml:space="preserve">— волатильность акции;</w:t>
      </w:r>
    </w:p>
    <w:p>
      <w:pPr>
        <w:numPr>
          <w:ilvl w:val="0"/>
          <w:numId w:val="1006"/>
        </w:numPr>
      </w:pPr>
      <m:oMath>
        <m:r>
          <m:t>r</m:t>
        </m:r>
      </m:oMath>
      <w:r>
        <w:t xml:space="preserve"> </w:t>
      </w:r>
      <w:r>
        <w:t xml:space="preserve">— годовая процентная ставка;</w:t>
      </w:r>
    </w:p>
    <w:p>
      <w:pPr>
        <w:numPr>
          <w:ilvl w:val="0"/>
          <w:numId w:val="1006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6"/>
        </w:numPr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Попробуйте построить траекторию курса акций. Функция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 </w:t>
      </w:r>
      <w:r>
        <w:t xml:space="preserve">генерирует случайное число от 0 до 1. Вы можете использовать функцию построения графика из библиотеки графиков.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Создайте функцию</w:t>
      </w:r>
      <w:r>
        <w:t xml:space="preserve"> </w:t>
      </w:r>
      <w:r>
        <w:rPr>
          <w:rStyle w:val="VerbatimChar"/>
        </w:rPr>
        <w:t xml:space="preserve">createPath(S::Float64, r::Float64, sigma::Float64, T::Float64, n::Int64)</w:t>
      </w:r>
      <w:r>
        <w:t xml:space="preserve">, которая создает траекторию цены акции с учетом начальных параметров. Используйте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 разных траекторий и построить их все на одном графике.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Распараллельте генерацию траектории. Можете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d)</w:t>
      </w:r>
      <w:r>
        <w:t xml:space="preserve"> </w:t>
      </w: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Попробуйте построить траекторию курса акций. Функция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 </w:t>
      </w:r>
      <w:r>
        <w:t xml:space="preserve">генерирует случайное число от 0 до 1. Вы можете использовать функцию построения графика из библиотеки графиков.</w:t>
      </w:r>
    </w:p>
    <w:bookmarkStart w:id="163" w:name="fig:032"/>
    <w:p>
      <w:pPr>
        <w:pStyle w:val="CaptionedFigure"/>
      </w:pPr>
      <w:r>
        <w:drawing>
          <wp:inline>
            <wp:extent cx="3733800" cy="2987040"/>
            <wp:effectExtent b="0" l="0" r="0" t="0"/>
            <wp:docPr descr="Рис. 32: Пункт a) задачи № 3" title="" id="161" name="Picture"/>
            <a:graphic>
              <a:graphicData uri="http://schemas.openxmlformats.org/drawingml/2006/picture">
                <pic:pic>
                  <pic:nvPicPr>
                    <pic:cNvPr descr="image/3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Пункт a) задачи № 3</w:t>
      </w:r>
    </w:p>
    <w:bookmarkEnd w:id="163"/>
    <w:bookmarkStart w:id="167" w:name="fig:033"/>
    <w:p>
      <w:pPr>
        <w:pStyle w:val="CaptionedFigure"/>
      </w:pPr>
      <w:r>
        <w:drawing>
          <wp:inline>
            <wp:extent cx="3733800" cy="2246160"/>
            <wp:effectExtent b="0" l="0" r="0" t="0"/>
            <wp:docPr descr="Рис. 33: График пункта a) задачи № 3" title="" id="165" name="Picture"/>
            <a:graphic>
              <a:graphicData uri="http://schemas.openxmlformats.org/drawingml/2006/picture">
                <pic:pic>
                  <pic:nvPicPr>
                    <pic:cNvPr descr="image/33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График пункта a) задачи № 3</w:t>
      </w:r>
    </w:p>
    <w:bookmarkEnd w:id="167"/>
    <w:bookmarkStart w:id="171" w:name="fig:034"/>
    <w:p>
      <w:pPr>
        <w:pStyle w:val="CaptionedFigure"/>
      </w:pPr>
      <w:r>
        <w:drawing>
          <wp:inline>
            <wp:extent cx="3733800" cy="3059157"/>
            <wp:effectExtent b="0" l="0" r="0" t="0"/>
            <wp:docPr descr="Рис. 34: Пункт b) задачи № 3" title="" id="169" name="Picture"/>
            <a:graphic>
              <a:graphicData uri="http://schemas.openxmlformats.org/drawingml/2006/picture">
                <pic:pic>
                  <pic:nvPicPr>
                    <pic:cNvPr descr="image/34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Пункт b) задачи № 3</w:t>
      </w:r>
    </w:p>
    <w:bookmarkEnd w:id="171"/>
    <w:bookmarkStart w:id="175" w:name="fig:035"/>
    <w:p>
      <w:pPr>
        <w:pStyle w:val="CaptionedFigure"/>
      </w:pPr>
      <w:r>
        <w:drawing>
          <wp:inline>
            <wp:extent cx="3733800" cy="4840748"/>
            <wp:effectExtent b="0" l="0" r="0" t="0"/>
            <wp:docPr descr="Рис. 35: Пункт c) задачи № 3" title="" id="173" name="Picture"/>
            <a:graphic>
              <a:graphicData uri="http://schemas.openxmlformats.org/drawingml/2006/picture">
                <pic:pic>
                  <pic:nvPicPr>
                    <pic:cNvPr descr="image/35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Пункт c) задачи № 3</w:t>
      </w:r>
    </w:p>
    <w:bookmarkEnd w:id="175"/>
    <w:bookmarkStart w:id="179" w:name="fig:036"/>
    <w:p>
      <w:pPr>
        <w:pStyle w:val="CaptionedFigure"/>
      </w:pPr>
      <w:r>
        <w:drawing>
          <wp:inline>
            <wp:extent cx="3733800" cy="2950084"/>
            <wp:effectExtent b="0" l="0" r="0" t="0"/>
            <wp:docPr descr="Рис. 36: Пункт d) задачи № 3" title="" id="177" name="Picture"/>
            <a:graphic>
              <a:graphicData uri="http://schemas.openxmlformats.org/drawingml/2006/picture">
                <pic:pic>
                  <pic:nvPicPr>
                    <pic:cNvPr descr="image/36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0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Пункт d) задачи № 3</w:t>
      </w:r>
    </w:p>
    <w:bookmarkEnd w:id="179"/>
    <w:bookmarkEnd w:id="180"/>
    <w:bookmarkEnd w:id="181"/>
    <w:bookmarkStart w:id="18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специализированные пакеты Julia для обработки</w:t>
      </w:r>
      <w:r>
        <w:t xml:space="preserve"> </w:t>
      </w:r>
      <w:r>
        <w:t xml:space="preserve">данных.</w:t>
      </w:r>
    </w:p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32" Target="media/rId32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Введение в работу с данными</dc:title>
  <dc:creator>Абакумова Олеся Максимовна, НФИбд-02-22</dc:creator>
  <dc:language>ru-RU</dc:language>
  <cp:keywords/>
  <dcterms:created xsi:type="dcterms:W3CDTF">2025-12-06T19:20:43Z</dcterms:created>
  <dcterms:modified xsi:type="dcterms:W3CDTF">2025-12-06T19:20:43Z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