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1.png" ContentType="image/png"/>
  <Override PartName="/word/media/rId95.png" ContentType="image/png"/>
  <Override PartName="/word/media/rId2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Кибербезопасность предприятия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методы обнаружения, анализа и эксплуатации уязвимостей на почтовом сервере Microsoft Exchange для получения несанкционированного доступа к защищенной системе.</w:t>
      </w:r>
    </w:p>
    <w:bookmarkEnd w:id="20"/>
    <w:bookmarkStart w:id="12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69" w:name="X8740416f82f2abafc2b7afc50da71b2fda3b44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Разведка на предмет поиска вектора атаки.</w:t>
      </w:r>
    </w:p>
    <w:p>
      <w:pPr>
        <w:pStyle w:val="FirstParagraph"/>
      </w:pPr>
      <w:r>
        <w:t xml:space="preserve">Подключимся к удаленному рабочему столу атакующего и залогинемся под пользователем (рис. 1).</w:t>
      </w:r>
    </w:p>
    <w:bookmarkStart w:id="24" w:name="fig:001"/>
    <w:p>
      <w:pPr>
        <w:pStyle w:val="CaptionedFigure"/>
      </w:pPr>
      <w:r>
        <w:drawing>
          <wp:inline>
            <wp:extent cx="3733800" cy="1958270"/>
            <wp:effectExtent b="0" l="0" r="0" t="0"/>
            <wp:docPr descr="Рис. 1: Удаленный рабочий стол Kali Linux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8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Удаленный рабочий стол Kali Linux</w:t>
      </w:r>
    </w:p>
    <w:bookmarkEnd w:id="24"/>
    <w:p>
      <w:pPr>
        <w:pStyle w:val="BodyText"/>
      </w:pPr>
      <w:r>
        <w:t xml:space="preserve">Запустим терминал</w:t>
      </w:r>
      <w:r>
        <w:t xml:space="preserve"> </w:t>
      </w:r>
      <w:r>
        <w:rPr>
          <w:rStyle w:val="VerbatimChar"/>
        </w:rPr>
        <w:t xml:space="preserve">Root Terminal Emulator</w:t>
      </w:r>
      <w:r>
        <w:t xml:space="preserve"> </w:t>
      </w:r>
      <w:r>
        <w:t xml:space="preserve">и пройдем аутентификацию из-под пользователя root (рис. 2).</w:t>
      </w:r>
    </w:p>
    <w:bookmarkStart w:id="28" w:name="fig:002"/>
    <w:p>
      <w:pPr>
        <w:pStyle w:val="CaptionedFigure"/>
      </w:pPr>
      <w:r>
        <w:drawing>
          <wp:inline>
            <wp:extent cx="3733800" cy="2840934"/>
            <wp:effectExtent b="0" l="0" r="0" t="0"/>
            <wp:docPr descr="Рис. 2: Аутентификация в терминал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Аутентификация в терминале</w:t>
      </w:r>
    </w:p>
    <w:bookmarkEnd w:id="28"/>
    <w:p>
      <w:pPr>
        <w:pStyle w:val="BodyText"/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просканируем подсеть 195.239.174.0/24 для поиска открытых портов, которые можно будет использовать для атаки на инфраструктуру (рис. 3).</w:t>
      </w:r>
    </w:p>
    <w:bookmarkStart w:id="32" w:name="fig:003"/>
    <w:p>
      <w:pPr>
        <w:pStyle w:val="CaptionedFigure"/>
      </w:pPr>
      <w:r>
        <w:drawing>
          <wp:inline>
            <wp:extent cx="3733800" cy="3981164"/>
            <wp:effectExtent b="0" l="0" r="0" t="0"/>
            <wp:docPr descr="Рис. 3: Сканирование сети 195.239.174.0/24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1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Сканирование сети 195.239.174.0/24</w:t>
      </w:r>
    </w:p>
    <w:bookmarkEnd w:id="32"/>
    <w:p>
      <w:pPr>
        <w:pStyle w:val="BodyText"/>
      </w:pPr>
      <w:r>
        <w:t xml:space="preserve">Увидим, что на хосте 195.239.174.1 открыты порты 25 и 443. Первый порт (SMTP) передает электронные письма между почтовыми сервисами. В то время как второй (HTTPS) направлен на защищенную работу веб-трафика. Наличие данных портов указывает на потенциальный почтовый сервер.</w:t>
      </w:r>
    </w:p>
    <w:p>
      <w:pPr>
        <w:pStyle w:val="BodyText"/>
      </w:pPr>
      <w:r>
        <w:t xml:space="preserve">Убедимся, что на хосте действительно установлен почтовый сервер. В браузере перейдем по адресу</w:t>
      </w:r>
      <w:r>
        <w:t xml:space="preserve"> </w:t>
      </w:r>
      <w:r>
        <w:rPr>
          <w:rStyle w:val="VerbatimChar"/>
        </w:rPr>
        <w:t xml:space="preserve">https://195.239.174.1</w:t>
      </w:r>
      <w:r>
        <w:t xml:space="preserve"> </w:t>
      </w:r>
      <w:r>
        <w:t xml:space="preserve">и увидим интерфейс входа в систему Microsoft Outlook Web Access. Это окончательно подтверждает, что на данном хосте действительно работает почтовый сервер (рис. 4).</w:t>
      </w:r>
    </w:p>
    <w:bookmarkStart w:id="36" w:name="fig:004"/>
    <w:p>
      <w:pPr>
        <w:pStyle w:val="CaptionedFigure"/>
      </w:pPr>
      <w:r>
        <w:drawing>
          <wp:inline>
            <wp:extent cx="3733800" cy="2271395"/>
            <wp:effectExtent b="0" l="0" r="0" t="0"/>
            <wp:docPr descr="Рис. 4: Веб-интерфейс Exchange Server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Веб-интерфейс Exchange Server</w:t>
      </w:r>
    </w:p>
    <w:bookmarkEnd w:id="36"/>
    <w:p>
      <w:pPr>
        <w:pStyle w:val="BodyText"/>
      </w:pPr>
      <w:r>
        <w:t xml:space="preserve">Определим версию программного обеспечения Exchange Server, чтобы найти уявзимости. Для этого зайдем в режим разработчика и изучим разметку представленной HTML страницы. Увидим тег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, который содержит номер сборки или версию Exchange (рис. 5).</w:t>
      </w:r>
    </w:p>
    <w:bookmarkStart w:id="40" w:name="fig:005"/>
    <w:p>
      <w:pPr>
        <w:pStyle w:val="CaptionedFigure"/>
      </w:pPr>
      <w:r>
        <w:drawing>
          <wp:inline>
            <wp:extent cx="3733800" cy="3281218"/>
            <wp:effectExtent b="0" l="0" r="0" t="0"/>
            <wp:docPr descr="Рис. 5: Версия Exchange Server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Версия Exchange Server</w:t>
      </w:r>
    </w:p>
    <w:bookmarkEnd w:id="40"/>
    <w:p>
      <w:pPr>
        <w:pStyle w:val="BodyText"/>
      </w:pPr>
      <w:r>
        <w:t xml:space="preserve">Посмотрим официальную документацию Microsoft (рис. 6), где указаны даты выпуска различных версий Exchange Server. Сопоставим найденную на предыдущем шаге версию сервера с этой таблицей, чтобы определить точную дату выпуска.</w:t>
      </w:r>
    </w:p>
    <w:bookmarkStart w:id="44" w:name="fig:006"/>
    <w:p>
      <w:pPr>
        <w:pStyle w:val="CaptionedFigure"/>
      </w:pPr>
      <w:r>
        <w:drawing>
          <wp:inline>
            <wp:extent cx="3733800" cy="2285874"/>
            <wp:effectExtent b="0" l="0" r="0" t="0"/>
            <wp:docPr descr="Рис. 6: Просмотр вредоносной задачи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5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вредоносной задачи</w:t>
      </w:r>
    </w:p>
    <w:bookmarkEnd w:id="44"/>
    <w:p>
      <w:pPr>
        <w:pStyle w:val="BodyText"/>
      </w:pPr>
      <w:r>
        <w:t xml:space="preserve">В найденной задаче перейдем во вкладку</w:t>
      </w:r>
      <w:r>
        <w:t xml:space="preserve"> </w:t>
      </w:r>
      <w:r>
        <w:t xml:space="preserve">“Actions”</w:t>
      </w:r>
      <w:r>
        <w:t xml:space="preserve"> </w:t>
      </w:r>
      <w:r>
        <w:t xml:space="preserve">и увидим путь к испольняемому файлу злоумышленника (рис. 7).</w:t>
      </w:r>
    </w:p>
    <w:bookmarkStart w:id="48" w:name="fig:007"/>
    <w:p>
      <w:pPr>
        <w:pStyle w:val="CaptionedFigure"/>
      </w:pPr>
      <w:r>
        <w:drawing>
          <wp:inline>
            <wp:extent cx="3733800" cy="1906023"/>
            <wp:effectExtent b="0" l="0" r="0" t="0"/>
            <wp:docPr descr="Рис. 7: Дата выпуска сборки Exchange Server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6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Дата выпуска сборки Exchange Server</w:t>
      </w:r>
    </w:p>
    <w:bookmarkEnd w:id="48"/>
    <w:p>
      <w:pPr>
        <w:pStyle w:val="BodyText"/>
      </w:pPr>
      <w:r>
        <w:t xml:space="preserve">Для дальнейшего планирования вектора атаки используем веб-сайт</w:t>
      </w:r>
      <w:r>
        <w:t xml:space="preserve"> </w:t>
      </w:r>
      <w:r>
        <w:rPr>
          <w:rStyle w:val="VerbatimChar"/>
        </w:rPr>
        <w:t xml:space="preserve">https://www.cvedetails.com</w:t>
      </w:r>
      <w:r>
        <w:t xml:space="preserve">. Перейдем в раздел со школой</w:t>
      </w:r>
      <w:r>
        <w:t xml:space="preserve"> </w:t>
      </w:r>
      <w:r>
        <w:t xml:space="preserve">“опасности”</w:t>
      </w:r>
      <w:r>
        <w:t xml:space="preserve"> </w:t>
      </w:r>
      <w:r>
        <w:t xml:space="preserve">для различных уязвимостей (рис. 8).</w:t>
      </w:r>
    </w:p>
    <w:bookmarkStart w:id="52" w:name="fig:008"/>
    <w:p>
      <w:pPr>
        <w:pStyle w:val="CaptionedFigure"/>
      </w:pPr>
      <w:r>
        <w:drawing>
          <wp:inline>
            <wp:extent cx="3733800" cy="1937047"/>
            <wp:effectExtent b="0" l="0" r="0" t="0"/>
            <wp:docPr descr="Рис. 8: Страница CVSS Scores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7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Страница CVSS Scores</w:t>
      </w:r>
    </w:p>
    <w:bookmarkEnd w:id="52"/>
    <w:p>
      <w:pPr>
        <w:pStyle w:val="BodyText"/>
      </w:pPr>
      <w:r>
        <w:t xml:space="preserve">Изучим только самые опасные уязвимости, оценка которых больше или равна 9 (рис. 9). Будем искать CVE с пометкой</w:t>
      </w:r>
      <w:r>
        <w:t xml:space="preserve"> </w:t>
      </w:r>
      <w:r>
        <w:t xml:space="preserve">“public exploit exists”</w:t>
      </w:r>
      <w:r>
        <w:t xml:space="preserve">, чтобы была возможность эксплуатации.</w:t>
      </w:r>
    </w:p>
    <w:bookmarkStart w:id="56" w:name="fig:009"/>
    <w:p>
      <w:pPr>
        <w:pStyle w:val="CaptionedFigure"/>
      </w:pPr>
      <w:r>
        <w:drawing>
          <wp:inline>
            <wp:extent cx="3733800" cy="2154301"/>
            <wp:effectExtent b="0" l="0" r="0" t="0"/>
            <wp:docPr descr="Рис. 9: Просмотр наиболее приоритетных уязвимостей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4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 наиболее приоритетных уязвимостей</w:t>
      </w:r>
    </w:p>
    <w:bookmarkEnd w:id="56"/>
    <w:p>
      <w:pPr>
        <w:pStyle w:val="BodyText"/>
      </w:pPr>
      <w:r>
        <w:t xml:space="preserve">Найдем уязвимсоть</w:t>
      </w:r>
      <w:r>
        <w:t xml:space="preserve"> </w:t>
      </w:r>
      <w:r>
        <w:rPr>
          <w:rStyle w:val="VerbatimChar"/>
        </w:rPr>
        <w:t xml:space="preserve">CVE-2021-34473</w:t>
      </w:r>
      <w:r>
        <w:t xml:space="preserve"> </w:t>
      </w:r>
      <w:r>
        <w:t xml:space="preserve">и увидим, что первая дата раскрытия информации по уязвимости больше даты выпуска сборки атакуемого почтового сервера (рис. 10). Тогда, данную уязвимость можно эксплуатировать.</w:t>
      </w:r>
    </w:p>
    <w:bookmarkStart w:id="60" w:name="fig:010"/>
    <w:p>
      <w:pPr>
        <w:pStyle w:val="CaptionedFigure"/>
      </w:pPr>
      <w:r>
        <w:drawing>
          <wp:inline>
            <wp:extent cx="3733800" cy="1658431"/>
            <wp:effectExtent b="0" l="0" r="0" t="0"/>
            <wp:docPr descr="Рис. 10: Подробная информация по уязвимости CVE-2021-34473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Подробная информация по уязвимости CVE-2021-34473</w:t>
      </w:r>
    </w:p>
    <w:bookmarkEnd w:id="60"/>
    <w:p>
      <w:pPr>
        <w:pStyle w:val="BodyText"/>
      </w:pPr>
      <w:r>
        <w:t xml:space="preserve">Найденная уязвимость входит в цепочку ProxyLogon. Указано, что для данной CVE существует модуль в фреймворке Metasploit. Аналогично предыдущему рисунку, также указаны даты раскрытия уязвимости (рис. 11).</w:t>
      </w:r>
    </w:p>
    <w:bookmarkStart w:id="64" w:name="fig:011"/>
    <w:p>
      <w:pPr>
        <w:pStyle w:val="CaptionedFigure"/>
      </w:pPr>
      <w:r>
        <w:drawing>
          <wp:inline>
            <wp:extent cx="3733800" cy="2223216"/>
            <wp:effectExtent b="0" l="0" r="0" t="0"/>
            <wp:docPr descr="Рис. 11: Подробная информация по уязвимости CVE-2021-34473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Подробная информация по уязвимости CVE-2021-34473</w:t>
      </w:r>
    </w:p>
    <w:bookmarkEnd w:id="64"/>
    <w:p>
      <w:pPr>
        <w:pStyle w:val="BodyText"/>
      </w:pPr>
      <w:r>
        <w:t xml:space="preserve">Запустим Metasploit framework. Для поиска возможных векторов атаки проведем дальнейшее сканирование с помощью команды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(рис. 12).</w:t>
      </w:r>
    </w:p>
    <w:bookmarkStart w:id="68" w:name="fig:012"/>
    <w:p>
      <w:pPr>
        <w:pStyle w:val="CaptionedFigure"/>
      </w:pPr>
      <w:r>
        <w:drawing>
          <wp:inline>
            <wp:extent cx="3733800" cy="2374490"/>
            <wp:effectExtent b="0" l="0" r="0" t="0"/>
            <wp:docPr descr="Рис. 12: Перечень модулей Metasploit, предназначеннных для атаки на почтовый сервер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4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Перечень модулей Metasploit, предназначеннных для атаки на почтовый сервер</w:t>
      </w:r>
    </w:p>
    <w:bookmarkEnd w:id="68"/>
    <w:p>
      <w:pPr>
        <w:pStyle w:val="BodyText"/>
      </w:pPr>
      <w:r>
        <w:t xml:space="preserve">Стало понятно, что нужно получить сессию с удаленным хостом 195.239.174.1 с использованием RCE для захвата флага. Будем эксплуатировать возможность RCE двумя модулями.</w:t>
      </w:r>
    </w:p>
    <w:bookmarkEnd w:id="69"/>
    <w:bookmarkStart w:id="90" w:name="использование-уязвимости-proxyshell.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уязвимости ProxyShell.</w:t>
      </w:r>
    </w:p>
    <w:p>
      <w:pPr>
        <w:pStyle w:val="FirstParagraph"/>
      </w:pPr>
      <w:r>
        <w:t xml:space="preserve">Используемый модуль эксплуатирует уязвимость на сервере Microsoft Exchange, которая позволяет злоумышленнику обойти аутентификацию и выдать себя за произвольного пользователя. Вследствие чего атакующий может записать произвольный файл для достижения RCE.</w:t>
      </w:r>
    </w:p>
    <w:p>
      <w:pPr>
        <w:pStyle w:val="BodyText"/>
      </w:pPr>
      <w:r>
        <w:t xml:space="preserve">Воспользуемся модулем</w:t>
      </w:r>
      <w:r>
        <w:t xml:space="preserve"> </w:t>
      </w:r>
      <w:r>
        <w:rPr>
          <w:rStyle w:val="VerbatimChar"/>
        </w:rPr>
        <w:t xml:space="preserve">windows/http/exchange_proxyshell_rce</w:t>
      </w:r>
      <w:r>
        <w:t xml:space="preserve">. Зададим следующие параметры: IP-адрес атакующей машины, IP-адрес целевой системы (рис. 13).</w:t>
      </w:r>
    </w:p>
    <w:bookmarkStart w:id="73" w:name="fig:013"/>
    <w:p>
      <w:pPr>
        <w:pStyle w:val="CaptionedFigure"/>
      </w:pPr>
      <w:r>
        <w:drawing>
          <wp:inline>
            <wp:extent cx="3733800" cy="1004008"/>
            <wp:effectExtent b="0" l="0" r="0" t="0"/>
            <wp:docPr descr="Рис. 13: Установка необходимых для параметров lhost и rhosts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4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Установка необходимых для параметров lhost и rhosts</w:t>
      </w:r>
    </w:p>
    <w:bookmarkEnd w:id="73"/>
    <w:p>
      <w:pPr>
        <w:pStyle w:val="BodyText"/>
      </w:pPr>
      <w:r>
        <w:t xml:space="preserve">Запустим модуль ProxyShell и получим meterpeter-сессию с помощью команды</w:t>
      </w:r>
      <w:r>
        <w:t xml:space="preserve"> </w:t>
      </w:r>
      <w:r>
        <w:rPr>
          <w:rStyle w:val="VerbatimChar"/>
        </w:rPr>
        <w:t xml:space="preserve">run</w:t>
      </w:r>
      <w:r>
        <w:t xml:space="preserve">. В консоли виден многоэтапный процесс атаки (рис. 14). Также увидим информацию о том, что была обнаружена и проэксплуатирована уязвимость</w:t>
      </w:r>
      <w:r>
        <w:t xml:space="preserve"> </w:t>
      </w:r>
      <w:r>
        <w:rPr>
          <w:rStyle w:val="VerbatimChar"/>
        </w:rPr>
        <w:t xml:space="preserve">CVE-2021-34473</w:t>
      </w:r>
      <w:r>
        <w:t xml:space="preserve">.</w:t>
      </w:r>
    </w:p>
    <w:bookmarkStart w:id="77" w:name="fig:014"/>
    <w:p>
      <w:pPr>
        <w:pStyle w:val="CaptionedFigure"/>
      </w:pPr>
      <w:r>
        <w:drawing>
          <wp:inline>
            <wp:extent cx="3733800" cy="1357137"/>
            <wp:effectExtent b="0" l="0" r="0" t="0"/>
            <wp:docPr descr="Рис. 14: Процесс эксплуатации уязвимого сервера Microsoft Exchange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Процесс эксплуатации уязвимого сервера Microsoft Exchange</w:t>
      </w:r>
    </w:p>
    <w:bookmarkEnd w:id="77"/>
    <w:p>
      <w:pPr>
        <w:pStyle w:val="BodyText"/>
      </w:pPr>
      <w:r>
        <w:t xml:space="preserve">Из сессии Meterpreter читаем содержимое файла, используя команду</w:t>
      </w:r>
      <w:r>
        <w:t xml:space="preserve"> </w:t>
      </w:r>
      <w:r>
        <w:rPr>
          <w:rStyle w:val="VerbatimChar"/>
        </w:rPr>
        <w:t xml:space="preserve">C:/windows/system32/flag_for_red_team.txt</w:t>
      </w:r>
      <w:r>
        <w:t xml:space="preserve"> </w:t>
      </w:r>
      <w:r>
        <w:t xml:space="preserve">(рис. 15):</w:t>
      </w:r>
    </w:p>
    <w:bookmarkStart w:id="81" w:name="fig:015"/>
    <w:p>
      <w:pPr>
        <w:pStyle w:val="CaptionedFigure"/>
      </w:pPr>
      <w:r>
        <w:drawing>
          <wp:inline>
            <wp:extent cx="3733800" cy="475598"/>
            <wp:effectExtent b="0" l="0" r="0" t="0"/>
            <wp:docPr descr="Рис. 15: Чтение содержимого флага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5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Чтение содержимого флага</w:t>
      </w:r>
    </w:p>
    <w:bookmarkEnd w:id="81"/>
    <w:p>
      <w:pPr>
        <w:pStyle w:val="BodyText"/>
      </w:pPr>
      <w:r>
        <w:t xml:space="preserve">Перейдем в Ampire и укажем выведенный флаг (рис. 16):</w:t>
      </w:r>
    </w:p>
    <w:bookmarkStart w:id="85" w:name="fig:016"/>
    <w:p>
      <w:pPr>
        <w:pStyle w:val="CaptionedFigure"/>
      </w:pPr>
      <w:r>
        <w:drawing>
          <wp:inline>
            <wp:extent cx="3733800" cy="2109023"/>
            <wp:effectExtent b="0" l="0" r="0" t="0"/>
            <wp:docPr descr="Рис. 16: Указание и проверка флага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Указание и проверка флага</w:t>
      </w:r>
    </w:p>
    <w:bookmarkEnd w:id="85"/>
    <w:p>
      <w:pPr>
        <w:pStyle w:val="BodyText"/>
      </w:pPr>
      <w:r>
        <w:t xml:space="preserve">Убедимся, что флаг была найден и введен правильно (рис. 17):</w:t>
      </w:r>
    </w:p>
    <w:bookmarkStart w:id="89" w:name="fig:017"/>
    <w:p>
      <w:pPr>
        <w:pStyle w:val="CaptionedFigure"/>
      </w:pPr>
      <w:r>
        <w:drawing>
          <wp:inline>
            <wp:extent cx="3733800" cy="1375147"/>
            <wp:effectExtent b="0" l="0" r="0" t="0"/>
            <wp:docPr descr="Рис. 17: Успешная атака с использованием первого модуля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5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Успешная атака с использованием первого модуля</w:t>
      </w:r>
    </w:p>
    <w:bookmarkEnd w:id="89"/>
    <w:bookmarkEnd w:id="90"/>
    <w:bookmarkStart w:id="127" w:name="эксплуатация-уязвимости-proxylogon.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Эксплуатация уязвимости ProxyLogon.</w:t>
      </w:r>
    </w:p>
    <w:p>
      <w:pPr>
        <w:pStyle w:val="FirstParagraph"/>
      </w:pPr>
      <w:r>
        <w:t xml:space="preserve">Альтернативным способом захвата флага является эксплуатация</w:t>
      </w:r>
      <w:r>
        <w:t xml:space="preserve"> </w:t>
      </w:r>
      <w:r>
        <w:t xml:space="preserve">уязвимости ProxyLogon.</w:t>
      </w:r>
      <w:r>
        <w:t xml:space="preserve"> </w:t>
      </w:r>
      <w:r>
        <w:t xml:space="preserve">Уязвимость ProxyLogon CVE-2021-26855 (SSRF) позволяет внешнему</w:t>
      </w:r>
      <w:r>
        <w:t xml:space="preserve"> </w:t>
      </w:r>
      <w:r>
        <w:t xml:space="preserve">атакующему обойти механизм аутентификации в MS Exchange и выдать себя</w:t>
      </w:r>
      <w:r>
        <w:t xml:space="preserve"> </w:t>
      </w:r>
      <w:r>
        <w:t xml:space="preserve">за любого пользователя. С помощью подделанного запроса на стороне сервера атакующий может отправить произвольный HTTP-запрос, который будетперенаправлен к другому внутреннему сервису, от имени машинного аккаунта</w:t>
      </w:r>
      <w:r>
        <w:t xml:space="preserve"> </w:t>
      </w:r>
      <w:r>
        <w:t xml:space="preserve">почтового сервера. Для эксплуатации данной уязвимости нужно получить доступ к почтовому ящику одного из пользователей почтового сервиса.</w:t>
      </w:r>
    </w:p>
    <w:p>
      <w:pPr>
        <w:pStyle w:val="BodyText"/>
      </w:pPr>
      <w:r>
        <w:t xml:space="preserve">Первоочередно необходимо внести изменения в файл /etc/hosts (рис. 18):</w:t>
      </w:r>
    </w:p>
    <w:bookmarkStart w:id="94" w:name="fig:018"/>
    <w:p>
      <w:pPr>
        <w:pStyle w:val="CaptionedFigure"/>
      </w:pPr>
      <w:r>
        <w:drawing>
          <wp:inline>
            <wp:extent cx="3733800" cy="2172392"/>
            <wp:effectExtent b="0" l="0" r="0" t="0"/>
            <wp:docPr descr="Рис. 18: Внесение изменений в /etc/hosts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2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Внесение изменений в /etc/hosts</w:t>
      </w:r>
    </w:p>
    <w:bookmarkEnd w:id="94"/>
    <w:bookmarkStart w:id="98" w:name="fig:019"/>
    <w:p>
      <w:pPr>
        <w:pStyle w:val="CaptionedFigure"/>
      </w:pPr>
      <w:r>
        <w:drawing>
          <wp:inline>
            <wp:extent cx="3733800" cy="1892984"/>
            <wp:effectExtent b="0" l="0" r="0" t="0"/>
            <wp:docPr descr="Рис. 19: Внесение изменений в /etc/hosts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2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Внесение изменений в /etc/hosts</w:t>
      </w:r>
    </w:p>
    <w:bookmarkEnd w:id="98"/>
    <w:p>
      <w:pPr>
        <w:pStyle w:val="BodyText"/>
      </w:pPr>
      <w:r>
        <w:t xml:space="preserve">В нижней части страницы портала portal.ampire.corp можно найти информацию о легитимной почте одного из сотрудников (рис. 20):</w:t>
      </w:r>
    </w:p>
    <w:bookmarkStart w:id="102" w:name="fig:020"/>
    <w:p>
      <w:pPr>
        <w:pStyle w:val="CaptionedFigure"/>
      </w:pPr>
      <w:r>
        <w:drawing>
          <wp:inline>
            <wp:extent cx="3733800" cy="3391803"/>
            <wp:effectExtent b="0" l="0" r="0" t="0"/>
            <wp:docPr descr="Рис. 20: Легитимная почта одного из сотрудников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1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Легитимная почта одного из сотрудников</w:t>
      </w:r>
    </w:p>
    <w:bookmarkEnd w:id="102"/>
    <w:p>
      <w:pPr>
        <w:pStyle w:val="BodyText"/>
      </w:pPr>
      <w:r>
        <w:t xml:space="preserve">Далее найдем уязвимость в списке, которую убдем использовать (рис. 21):</w:t>
      </w:r>
    </w:p>
    <w:bookmarkStart w:id="106" w:name="fig:021"/>
    <w:p>
      <w:pPr>
        <w:pStyle w:val="CaptionedFigure"/>
      </w:pPr>
      <w:r>
        <w:drawing>
          <wp:inline>
            <wp:extent cx="3733800" cy="1354325"/>
            <wp:effectExtent b="0" l="0" r="0" t="0"/>
            <wp:docPr descr="Рис. 21: Уязвимость ProxyLogon" title="" id="104" name="Picture"/>
            <a:graphic>
              <a:graphicData uri="http://schemas.openxmlformats.org/drawingml/2006/picture">
                <pic:pic>
                  <pic:nvPicPr>
                    <pic:cNvPr descr="image/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4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Уязвимость ProxyLogon</w:t>
      </w:r>
    </w:p>
    <w:bookmarkEnd w:id="106"/>
    <w:p>
      <w:pPr>
        <w:pStyle w:val="BodyText"/>
      </w:pPr>
      <w:r>
        <w:t xml:space="preserve">Используем ее (рис. 22):</w:t>
      </w:r>
    </w:p>
    <w:bookmarkStart w:id="110" w:name="fig:022"/>
    <w:p>
      <w:pPr>
        <w:pStyle w:val="CaptionedFigure"/>
      </w:pPr>
      <w:r>
        <w:drawing>
          <wp:inline>
            <wp:extent cx="3733800" cy="711535"/>
            <wp:effectExtent b="0" l="0" r="0" t="0"/>
            <wp:docPr descr="Рис. 22: Использование уязвимости ProxyLogon" title="" id="108" name="Picture"/>
            <a:graphic>
              <a:graphicData uri="http://schemas.openxmlformats.org/drawingml/2006/picture">
                <pic:pic>
                  <pic:nvPicPr>
                    <pic:cNvPr descr="image/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Использование уязвимости ProxyLogon</w:t>
      </w:r>
    </w:p>
    <w:bookmarkEnd w:id="110"/>
    <w:p>
      <w:pPr>
        <w:pStyle w:val="BodyText"/>
      </w:pPr>
      <w:r>
        <w:t xml:space="preserve">С использованием почты manager1@ampire.corp (рис. 20) можно</w:t>
      </w:r>
      <w:r>
        <w:t xml:space="preserve"> </w:t>
      </w:r>
      <w:r>
        <w:t xml:space="preserve">применить данный модуль для получения соединения с удаленным узлом. Далее задать все необходимые параметры для модуля (рис. 23):</w:t>
      </w:r>
    </w:p>
    <w:bookmarkStart w:id="114" w:name="fig:023"/>
    <w:p>
      <w:pPr>
        <w:pStyle w:val="CaptionedFigure"/>
      </w:pPr>
      <w:r>
        <w:drawing>
          <wp:inline>
            <wp:extent cx="3733800" cy="641914"/>
            <wp:effectExtent b="0" l="0" r="0" t="0"/>
            <wp:docPr descr="Рис. 23: Установка необходимых для модуля параметров" title="" id="112" name="Picture"/>
            <a:graphic>
              <a:graphicData uri="http://schemas.openxmlformats.org/drawingml/2006/picture">
                <pic:pic>
                  <pic:nvPicPr>
                    <pic:cNvPr descr="image/23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1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Установка необходимых для модуля параметров</w:t>
      </w:r>
    </w:p>
    <w:bookmarkEnd w:id="114"/>
    <w:p>
      <w:pPr>
        <w:pStyle w:val="BodyText"/>
      </w:pPr>
      <w:r>
        <w:t xml:space="preserve">Следующим шагом запустить эксплуатацию уязвимости ProxyLogon (рис. 24):</w:t>
      </w:r>
    </w:p>
    <w:bookmarkStart w:id="118" w:name="fig:024"/>
    <w:p>
      <w:pPr>
        <w:pStyle w:val="CaptionedFigure"/>
      </w:pPr>
      <w:r>
        <w:drawing>
          <wp:inline>
            <wp:extent cx="3733800" cy="1951934"/>
            <wp:effectExtent b="0" l="0" r="0" t="0"/>
            <wp:docPr descr="Рис. 24: Процесс эксплуатации уязвимого сервера Microsoft Exchange" title="" id="116" name="Picture"/>
            <a:graphic>
              <a:graphicData uri="http://schemas.openxmlformats.org/drawingml/2006/picture">
                <pic:pic>
                  <pic:nvPicPr>
                    <pic:cNvPr descr="image/24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1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Процесс эксплуатации уязвимого сервера Microsoft Exchange</w:t>
      </w:r>
    </w:p>
    <w:bookmarkEnd w:id="118"/>
    <w:p>
      <w:pPr>
        <w:pStyle w:val="BodyText"/>
      </w:pPr>
      <w:r>
        <w:t xml:space="preserve">После получения сессии с почтовым сервером можно найти флаг по пути</w:t>
      </w:r>
      <w:r>
        <w:t xml:space="preserve"> </w:t>
      </w:r>
      <w:r>
        <w:rPr>
          <w:rStyle w:val="VerbatimChar"/>
        </w:rPr>
        <w:t xml:space="preserve">С:\Windows\system32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flag_for_red_team.txt</w:t>
      </w:r>
      <w:r>
        <w:t xml:space="preserve"> </w:t>
      </w:r>
      <w:r>
        <w:t xml:space="preserve">(рис. 25):</w:t>
      </w:r>
    </w:p>
    <w:bookmarkStart w:id="122" w:name="fig:025"/>
    <w:p>
      <w:pPr>
        <w:pStyle w:val="CaptionedFigure"/>
      </w:pPr>
      <w:r>
        <w:drawing>
          <wp:inline>
            <wp:extent cx="3195587" cy="924025"/>
            <wp:effectExtent b="0" l="0" r="0" t="0"/>
            <wp:docPr descr="Рис. 25: Поиск и чтение содержимого флага" title="" id="120" name="Picture"/>
            <a:graphic>
              <a:graphicData uri="http://schemas.openxmlformats.org/drawingml/2006/picture">
                <pic:pic>
                  <pic:nvPicPr>
                    <pic:cNvPr descr="image/25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587" cy="924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Поиск и чтение содержимого флага</w:t>
      </w:r>
    </w:p>
    <w:bookmarkEnd w:id="122"/>
    <w:p>
      <w:pPr>
        <w:pStyle w:val="BodyText"/>
      </w:pPr>
      <w:r>
        <w:t xml:space="preserve">Флаг успешно введен (рис. 26):</w:t>
      </w:r>
    </w:p>
    <w:bookmarkStart w:id="126" w:name="fig:026"/>
    <w:p>
      <w:pPr>
        <w:pStyle w:val="CaptionedFigure"/>
      </w:pPr>
      <w:r>
        <w:drawing>
          <wp:inline>
            <wp:extent cx="3733800" cy="1072213"/>
            <wp:effectExtent b="0" l="0" r="0" t="0"/>
            <wp:docPr descr="Рис. 26: Успешное введение флага" title="" id="124" name="Picture"/>
            <a:graphic>
              <a:graphicData uri="http://schemas.openxmlformats.org/drawingml/2006/picture">
                <pic:pic>
                  <pic:nvPicPr>
                    <pic:cNvPr descr="image/26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2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Успешное введение флага</w:t>
      </w:r>
    </w:p>
    <w:bookmarkEnd w:id="126"/>
    <w:bookmarkEnd w:id="127"/>
    <w:bookmarkEnd w:id="128"/>
    <w:bookmarkStart w:id="12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освоили методы обнаружения, анализа и эксплуатации уязвимостей на почтовом сервере Microsoft Exchange для получения несанкционированного доступа к защищенной системе.</w:t>
      </w:r>
    </w:p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/>
  <dc:language>ru-RU</dc:language>
  <cp:keywords/>
  <dcterms:created xsi:type="dcterms:W3CDTF">2025-11-10T18:47:48Z</dcterms:created>
  <dcterms:modified xsi:type="dcterms:W3CDTF">2025-11-10T18:47:48Z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Кибербезопасность предприятия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