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40.png" ContentType="image/png"/>
  <Override PartName="/word/media/rId2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33.png" ContentType="image/png"/>
  <Override PartName="/word/media/rId185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Кибербезопасность предприятия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Устранить уязвимости и последствия для корпоративного мессенджера.</w:t>
      </w:r>
    </w:p>
    <w:bookmarkEnd w:id="20"/>
    <w:bookmarkStart w:id="19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81" w:name="уязвимость-1.-cve-2020-24186.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Уязвимость 1. CVE-2020-24186.</w:t>
      </w:r>
    </w:p>
    <w:p>
      <w:pPr>
        <w:pStyle w:val="FirstParagraph"/>
      </w:pPr>
      <w:r>
        <w:t xml:space="preserve">Начнём выполнение лабораторной, зайдём в список событий и найдём информацию о произошедей атаке (рис. 1). B списках событий видно, что система безопасности обнаружила в сетевом трафике вредоносный программный код (EXPLOIT), предназначенный для эксплуатации уязвимости в системе (рис. 2).</w:t>
      </w:r>
    </w:p>
    <w:bookmarkStart w:id="24" w:name="fig:001"/>
    <w:p>
      <w:pPr>
        <w:pStyle w:val="CaptionedFigure"/>
      </w:pPr>
      <w:r>
        <w:drawing>
          <wp:inline>
            <wp:extent cx="3733800" cy="1967572"/>
            <wp:effectExtent b="0" l="0" r="0" t="0"/>
            <wp:docPr descr="Рис. 1: Найдено нарушние правил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Найдено нарушние правил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147062"/>
            <wp:effectExtent b="0" l="0" r="0" t="0"/>
            <wp:docPr descr="Рис. 2: Найдена атака на веб-приложени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Найдена атака на веб-приложение</w:t>
      </w:r>
    </w:p>
    <w:bookmarkEnd w:id="28"/>
    <w:p>
      <w:pPr>
        <w:pStyle w:val="BodyText"/>
      </w:pPr>
      <w:r>
        <w:t xml:space="preserve">Найденное событие фиксирует успешную попытку внедрения операционной команды на веб-сервер. Атакующий сумел передать на сервер в теле HTTP-запроса данные, которые содержали команду для выполнения на самой ОС сервера.</w:t>
      </w:r>
    </w:p>
    <w:p>
      <w:pPr>
        <w:pStyle w:val="BodyText"/>
      </w:pPr>
      <w:r>
        <w:t xml:space="preserve">Посмотрим как нейтрализовать найденную уязвимость по СVE, чтобы получить точную информацию о характере уязвимости и ее критичности(рис. 3).</w:t>
      </w:r>
    </w:p>
    <w:bookmarkStart w:id="32" w:name="fig:003"/>
    <w:p>
      <w:pPr>
        <w:pStyle w:val="CaptionedFigure"/>
      </w:pPr>
      <w:r>
        <w:drawing>
          <wp:inline>
            <wp:extent cx="3733800" cy="1703031"/>
            <wp:effectExtent b="0" l="0" r="0" t="0"/>
            <wp:docPr descr="Рис. 3: Просмотр обзора событи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обзора события</w:t>
      </w:r>
    </w:p>
    <w:bookmarkEnd w:id="32"/>
    <w:p>
      <w:pPr>
        <w:pStyle w:val="BodyText"/>
      </w:pPr>
      <w:r>
        <w:t xml:space="preserve">Посмотрим графическую схему корпоративной сети. Атакующий с рабочей станции Kali Linux проводит атаку на один из DMZ серверов компании (рис. 4).</w:t>
      </w:r>
    </w:p>
    <w:bookmarkStart w:id="36" w:name="fig:004"/>
    <w:p>
      <w:pPr>
        <w:pStyle w:val="CaptionedFigure"/>
      </w:pPr>
      <w:r>
        <w:drawing>
          <wp:inline>
            <wp:extent cx="3733800" cy="1399208"/>
            <wp:effectExtent b="0" l="0" r="0" t="0"/>
            <wp:docPr descr="Рис. 4: Схема атаки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9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Схема атаки</w:t>
      </w:r>
    </w:p>
    <w:bookmarkEnd w:id="36"/>
    <w:p>
      <w:pPr>
        <w:pStyle w:val="BodyText"/>
      </w:pPr>
      <w:r>
        <w:t xml:space="preserve">Проанализируем пакет с подозрительным HTTP-запросом через SecOnion, отфильтровав по уязвимому узлу (рис. 5).</w:t>
      </w:r>
    </w:p>
    <w:bookmarkStart w:id="40" w:name="fig:005"/>
    <w:p>
      <w:pPr>
        <w:pStyle w:val="CaptionedFigure"/>
      </w:pPr>
      <w:r>
        <w:drawing>
          <wp:inline>
            <wp:extent cx="3733800" cy="1500006"/>
            <wp:effectExtent b="0" l="0" r="0" t="0"/>
            <wp:docPr descr="Рис. 5: Просмотри подозрительного запроса через SecOnion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Просмотри подозрительного запроса через SecOnion</w:t>
      </w:r>
    </w:p>
    <w:bookmarkEnd w:id="40"/>
    <w:p>
      <w:pPr>
        <w:pStyle w:val="BodyText"/>
      </w:pPr>
      <w:r>
        <w:t xml:space="preserve">Изучили уязвимость, добавили инцидент(рис. 6).</w:t>
      </w:r>
    </w:p>
    <w:bookmarkStart w:id="44" w:name="fig:006"/>
    <w:p>
      <w:pPr>
        <w:pStyle w:val="CaptionedFigure"/>
      </w:pPr>
      <w:r>
        <w:drawing>
          <wp:inline>
            <wp:extent cx="3733800" cy="1833954"/>
            <wp:effectExtent b="0" l="0" r="0" t="0"/>
            <wp:docPr descr="Рис. 6: Добавление инцидента по уязвимости 1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инцидента по уязвимости 1</w:t>
      </w:r>
    </w:p>
    <w:bookmarkEnd w:id="44"/>
    <w:p>
      <w:pPr>
        <w:pStyle w:val="BodyText"/>
      </w:pPr>
      <w:r>
        <w:t xml:space="preserve">Для устранения уязвимости подключимся к атакованному устройству через удаленный рабочий администратора стол с помощью KeyPass (рис. 7).</w:t>
      </w:r>
    </w:p>
    <w:bookmarkStart w:id="48" w:name="fig:007"/>
    <w:p>
      <w:pPr>
        <w:pStyle w:val="CaptionedFigure"/>
      </w:pPr>
      <w:r>
        <w:drawing>
          <wp:inline>
            <wp:extent cx="3733800" cy="2330393"/>
            <wp:effectExtent b="0" l="0" r="0" t="0"/>
            <wp:docPr descr="Рис. 7: Подключение к устройству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Подключение к устройству</w:t>
      </w:r>
    </w:p>
    <w:bookmarkEnd w:id="48"/>
    <w:p>
      <w:pPr>
        <w:pStyle w:val="BodyText"/>
      </w:pPr>
      <w:r>
        <w:t xml:space="preserve">Залогинемся на веб-сайте под администратором (рис. 8).</w:t>
      </w:r>
    </w:p>
    <w:bookmarkStart w:id="52" w:name="fig:008"/>
    <w:p>
      <w:pPr>
        <w:pStyle w:val="CaptionedFigure"/>
      </w:pPr>
      <w:r>
        <w:drawing>
          <wp:inline>
            <wp:extent cx="3733800" cy="2090202"/>
            <wp:effectExtent b="0" l="0" r="0" t="0"/>
            <wp:docPr descr="Рис. 8: Вход веб-сайт 10.10.1.22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Вход веб-сайт 10.10.1.22</w:t>
      </w:r>
    </w:p>
    <w:bookmarkEnd w:id="52"/>
    <w:p>
      <w:pPr>
        <w:pStyle w:val="BodyText"/>
      </w:pPr>
      <w:r>
        <w:t xml:space="preserve">Перейдем в раздел плагинов на сайте и найдем требующийся (рис. 9).</w:t>
      </w:r>
    </w:p>
    <w:bookmarkStart w:id="56" w:name="fig:009"/>
    <w:p>
      <w:pPr>
        <w:pStyle w:val="CaptionedFigure"/>
      </w:pPr>
      <w:r>
        <w:drawing>
          <wp:inline>
            <wp:extent cx="3733800" cy="1984295"/>
            <wp:effectExtent b="0" l="0" r="0" t="0"/>
            <wp:docPr descr="Рис. 9: Страница плагинов на веб-сайте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Страница плагинов на веб-сайте</w:t>
      </w:r>
    </w:p>
    <w:bookmarkEnd w:id="56"/>
    <w:p>
      <w:pPr>
        <w:pStyle w:val="BodyText"/>
      </w:pPr>
      <w:r>
        <w:t xml:space="preserve">Для устранения уязвимости, необходимо было или деактивировать плагин WpDiscuz, который был точкой входа для атакующего. Данная уязвимость исправлена разработчиками в версии 7.0.5 и выше. Для закрытия уязвимости достаточно обновить версию плагина WpDiscuz на более актуальную, однако у нас отсутвует подключение к интернету. Поэтому отключим данный плагин по выбранной причине (рис. 10).</w:t>
      </w:r>
    </w:p>
    <w:bookmarkStart w:id="60" w:name="fig:010"/>
    <w:p>
      <w:pPr>
        <w:pStyle w:val="CaptionedFigure"/>
      </w:pPr>
      <w:r>
        <w:drawing>
          <wp:inline>
            <wp:extent cx="3733800" cy="1703408"/>
            <wp:effectExtent b="0" l="0" r="0" t="0"/>
            <wp:docPr descr="Рис. 10: Отключение плагина WpDiscuz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Отключение плагина WpDiscuz</w:t>
      </w:r>
    </w:p>
    <w:bookmarkEnd w:id="60"/>
    <w:p>
      <w:pPr>
        <w:pStyle w:val="BodyText"/>
      </w:pPr>
      <w:r>
        <w:t xml:space="preserve">Открыв страницу сайта компании</w:t>
      </w:r>
      <w:r>
        <w:t xml:space="preserve"> </w:t>
      </w:r>
      <w:r>
        <w:rPr>
          <w:rStyle w:val="VerbatimChar"/>
        </w:rPr>
        <w:t xml:space="preserve">http://webportal3.ampire.corp</w:t>
      </w:r>
      <w:r>
        <w:t xml:space="preserve"> </w:t>
      </w:r>
      <w:r>
        <w:t xml:space="preserve">увидим изменения (рис. 11):</w:t>
      </w:r>
    </w:p>
    <w:bookmarkStart w:id="64" w:name="fig:011"/>
    <w:p>
      <w:pPr>
        <w:pStyle w:val="CaptionedFigure"/>
      </w:pPr>
      <w:r>
        <w:drawing>
          <wp:inline>
            <wp:extent cx="3733800" cy="1678443"/>
            <wp:effectExtent b="0" l="0" r="0" t="0"/>
            <wp:docPr descr="Рис. 11: Страница сайта компани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Страница сайта компании</w:t>
      </w:r>
    </w:p>
    <w:bookmarkEnd w:id="64"/>
    <w:p>
      <w:pPr>
        <w:pStyle w:val="BodyText"/>
      </w:pPr>
      <w:r>
        <w:t xml:space="preserve">Чтобы устанить уязвимость необходимо выполнить восстановление из последнего файла резервной копии, поскольку на веб-сервере работает FTP-сервер vsftpd, который дает возможность плагину Updraft Backup/Restore сохранять и скачивать резервную копию.</w:t>
      </w:r>
    </w:p>
    <w:p>
      <w:pPr>
        <w:pStyle w:val="BodyText"/>
      </w:pPr>
      <w:r>
        <w:t xml:space="preserve">Посмотрим последние резервные копии на сайте (рис. 12).</w:t>
      </w:r>
    </w:p>
    <w:bookmarkStart w:id="68" w:name="fig:012"/>
    <w:p>
      <w:pPr>
        <w:pStyle w:val="CaptionedFigure"/>
      </w:pPr>
      <w:r>
        <w:drawing>
          <wp:inline>
            <wp:extent cx="3733800" cy="1501464"/>
            <wp:effectExtent b="0" l="0" r="0" t="0"/>
            <wp:docPr descr="Рис. 12: Список резервных копий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резервных копий</w:t>
      </w:r>
    </w:p>
    <w:bookmarkEnd w:id="68"/>
    <w:p>
      <w:pPr>
        <w:pStyle w:val="BodyText"/>
      </w:pPr>
      <w:r>
        <w:t xml:space="preserve">Активируем версию от 15 сентября 2023 года и попытаемся восстановить данные. В качестве компонентов для переустановки укажем Themes и Uploads. (рис. 13).</w:t>
      </w:r>
    </w:p>
    <w:bookmarkStart w:id="72" w:name="fig:013"/>
    <w:p>
      <w:pPr>
        <w:pStyle w:val="CaptionedFigure"/>
      </w:pPr>
      <w:r>
        <w:drawing>
          <wp:inline>
            <wp:extent cx="3733800" cy="1566401"/>
            <wp:effectExtent b="0" l="0" r="0" t="0"/>
            <wp:docPr descr="Рис. 13: Выбор компонентов переустановки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Выбор компонентов переустановки</w:t>
      </w:r>
    </w:p>
    <w:bookmarkEnd w:id="72"/>
    <w:p>
      <w:pPr>
        <w:pStyle w:val="BodyText"/>
      </w:pPr>
      <w:r>
        <w:t xml:space="preserve">Поскольку возникла ошибка восстановления, нужно нажать опцию Delete Old Directories в журнале действий (рис. 14):</w:t>
      </w:r>
    </w:p>
    <w:bookmarkStart w:id="76" w:name="fig:014"/>
    <w:p>
      <w:pPr>
        <w:pStyle w:val="CaptionedFigure"/>
      </w:pPr>
      <w:r>
        <w:drawing>
          <wp:inline>
            <wp:extent cx="3733800" cy="2136662"/>
            <wp:effectExtent b="0" l="0" r="0" t="0"/>
            <wp:docPr descr="Рис. 14: Сообщение об удалении директорий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Сообщение об удалении директорий</w:t>
      </w:r>
    </w:p>
    <w:bookmarkEnd w:id="76"/>
    <w:p>
      <w:pPr>
        <w:pStyle w:val="BodyText"/>
      </w:pPr>
      <w:r>
        <w:t xml:space="preserve">Перейдем к возврату конфигурации, активировав опцию</w:t>
      </w:r>
      <w:r>
        <w:t xml:space="preserve"> </w:t>
      </w:r>
      <w:r>
        <w:rPr>
          <w:rStyle w:val="VerbatimChar"/>
        </w:rPr>
        <w:t xml:space="preserve">Return to configuration</w:t>
      </w:r>
      <w:r>
        <w:t xml:space="preserve"> </w:t>
      </w:r>
      <w:r>
        <w:t xml:space="preserve">(рис. 15):</w:t>
      </w:r>
    </w:p>
    <w:bookmarkStart w:id="80" w:name="fig:015"/>
    <w:p>
      <w:pPr>
        <w:pStyle w:val="CaptionedFigure"/>
      </w:pPr>
      <w:r>
        <w:drawing>
          <wp:inline>
            <wp:extent cx="3733800" cy="1844373"/>
            <wp:effectExtent b="0" l="0" r="0" t="0"/>
            <wp:docPr descr="Рис. 15: Успешное восстановление предыдущей версии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Успешное восстановление предыдущей версии</w:t>
      </w:r>
    </w:p>
    <w:bookmarkEnd w:id="80"/>
    <w:bookmarkEnd w:id="81"/>
    <w:bookmarkStart w:id="90" w:name="последствие-уязвимости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Последствие уязвимости 1</w:t>
      </w:r>
    </w:p>
    <w:p>
      <w:pPr>
        <w:pStyle w:val="FirstParagraph"/>
      </w:pPr>
      <w:r>
        <w:t xml:space="preserve">Чтобы устранить последствие, подключимся к консоли атакуемого устройства. Проверим сокеты уязвимой машины на подключение к определенному порту машины и обнаружим соединение с Kali. Разорвем соединение с нарушителем и проверим, что лишних соединений нет (рис. 16):</w:t>
      </w:r>
    </w:p>
    <w:bookmarkStart w:id="85" w:name="fig:016"/>
    <w:p>
      <w:pPr>
        <w:pStyle w:val="CaptionedFigure"/>
      </w:pPr>
      <w:r>
        <w:drawing>
          <wp:inline>
            <wp:extent cx="3733800" cy="2602249"/>
            <wp:effectExtent b="0" l="0" r="0" t="0"/>
            <wp:docPr descr="Рис. 16: Отображение информации о TCP-соединениях и закрытие сессии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Отображение информации о TCP-соединениях и закрытие сессии</w:t>
      </w:r>
    </w:p>
    <w:bookmarkEnd w:id="85"/>
    <w:p>
      <w:pPr>
        <w:pStyle w:val="BodyText"/>
      </w:pPr>
      <w:r>
        <w:t xml:space="preserve">Таким образом, устранили уязвимость, последствия первой уязвимости и закрыли инцидент (рис. 17):</w:t>
      </w:r>
    </w:p>
    <w:bookmarkStart w:id="89" w:name="fig:017"/>
    <w:p>
      <w:pPr>
        <w:pStyle w:val="CaptionedFigure"/>
      </w:pPr>
      <w:r>
        <w:drawing>
          <wp:inline>
            <wp:extent cx="3733800" cy="1958209"/>
            <wp:effectExtent b="0" l="0" r="0" t="0"/>
            <wp:docPr descr="Рис. 17: Уязвимость и последствия первой уязвимости устранены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Уязвимость и последствия первой уязвимости устранены</w:t>
      </w:r>
    </w:p>
    <w:bookmarkEnd w:id="89"/>
    <w:bookmarkEnd w:id="90"/>
    <w:bookmarkStart w:id="107" w:name="уязвимость-2.-cve-2021-27065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Уязвимость 2. CVE 2021-27065.</w:t>
      </w:r>
    </w:p>
    <w:p>
      <w:pPr>
        <w:pStyle w:val="FirstParagraph"/>
      </w:pPr>
      <w:r>
        <w:t xml:space="preserve">Вернемся в список событий и обнаружим следующее сигнатурное событие в системе – возможное нарушение политики информационной безопасности (рис. 18):</w:t>
      </w:r>
    </w:p>
    <w:bookmarkStart w:id="94" w:name="fig:018"/>
    <w:p>
      <w:pPr>
        <w:pStyle w:val="CaptionedFigure"/>
      </w:pPr>
      <w:r>
        <w:drawing>
          <wp:inline>
            <wp:extent cx="3733800" cy="1989945"/>
            <wp:effectExtent b="0" l="0" r="0" t="0"/>
            <wp:docPr descr="Рис. 18: Обнаружение подозрительного события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Обнаружение подозрительного события</w:t>
      </w:r>
    </w:p>
    <w:bookmarkEnd w:id="94"/>
    <w:p>
      <w:pPr>
        <w:pStyle w:val="BodyText"/>
      </w:pPr>
      <w:r>
        <w:t xml:space="preserve">После обнаружения данного события в системе время создать карточку нового инциндента (рис. 19):</w:t>
      </w:r>
    </w:p>
    <w:bookmarkStart w:id="98" w:name="fig:019"/>
    <w:p>
      <w:pPr>
        <w:pStyle w:val="CaptionedFigure"/>
      </w:pPr>
      <w:r>
        <w:drawing>
          <wp:inline>
            <wp:extent cx="3733800" cy="2352998"/>
            <wp:effectExtent b="0" l="0" r="0" t="0"/>
            <wp:docPr descr="Рис. 19: Карточка второго инциндента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Карточка второго инциндента</w:t>
      </w:r>
    </w:p>
    <w:bookmarkEnd w:id="98"/>
    <w:p>
      <w:pPr>
        <w:pStyle w:val="BodyText"/>
      </w:pPr>
      <w:r>
        <w:t xml:space="preserve">Указав всю необходимую информацию об инцинденте можем перейти к</w:t>
      </w:r>
      <w:r>
        <w:t xml:space="preserve"> </w:t>
      </w:r>
      <w:r>
        <w:rPr>
          <w:b/>
          <w:bCs/>
        </w:rPr>
        <w:t xml:space="preserve">устранению уязвимости</w:t>
      </w:r>
      <w:r>
        <w:t xml:space="preserve">.</w:t>
      </w:r>
    </w:p>
    <w:p>
      <w:pPr>
        <w:pStyle w:val="BodyText"/>
      </w:pPr>
      <w:r>
        <w:t xml:space="preserve">Во время эксплуатации уязвимости</w:t>
      </w:r>
      <w:r>
        <w:t xml:space="preserve"> </w:t>
      </w:r>
      <w:r>
        <w:rPr>
          <w:rStyle w:val="VerbatimChar"/>
        </w:rPr>
        <w:t xml:space="preserve">Proxylogon</w:t>
      </w:r>
      <w:r>
        <w:t xml:space="preserve"> </w:t>
      </w:r>
      <w:r>
        <w:t xml:space="preserve">нарушител совершает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запросы к</w:t>
      </w:r>
      <w:r>
        <w:t xml:space="preserve"> </w:t>
      </w:r>
      <w:r>
        <w:rPr>
          <w:rStyle w:val="VerbatimChar"/>
        </w:rPr>
        <w:t xml:space="preserve">/ecp</w:t>
      </w:r>
      <w:r>
        <w:t xml:space="preserve">. Достаточно ограничить доступ к указанной директории для запрета эксплуатации уязвимости.</w:t>
      </w:r>
    </w:p>
    <w:p>
      <w:pPr>
        <w:pStyle w:val="BodyText"/>
      </w:pPr>
      <w:r>
        <w:t xml:space="preserve">Необходимо выполнить следующие действия:</w:t>
      </w:r>
    </w:p>
    <w:p>
      <w:pPr>
        <w:numPr>
          <w:ilvl w:val="0"/>
          <w:numId w:val="1001"/>
        </w:numPr>
      </w:pPr>
      <w:r>
        <w:t xml:space="preserve">Для открытия</w:t>
      </w:r>
      <w:r>
        <w:t xml:space="preserve"> </w:t>
      </w:r>
      <w:r>
        <w:rPr>
          <w:rStyle w:val="VerbatimChar"/>
        </w:rPr>
        <w:t xml:space="preserve">Internet Information Services (IIS) Manager</w:t>
      </w:r>
      <w:r>
        <w:t xml:space="preserve"> </w:t>
      </w:r>
      <w:r>
        <w:t xml:space="preserve">необходимо нажать сочетание клавиш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и в появившемся окне ввести</w:t>
      </w:r>
      <w:r>
        <w:t xml:space="preserve"> </w:t>
      </w:r>
      <w:r>
        <w:rPr>
          <w:rStyle w:val="VerbatimChar"/>
        </w:rPr>
        <w:t xml:space="preserve">inetmgr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открывшемся окне перейти во вкладку</w:t>
      </w:r>
      <w:r>
        <w:t xml:space="preserve"> </w:t>
      </w:r>
      <w:r>
        <w:rPr>
          <w:rStyle w:val="VerbatimChar"/>
        </w:rPr>
        <w:t xml:space="preserve">MAIL\Sites\Default Web Site\ecp</w:t>
      </w:r>
      <w:r>
        <w:t xml:space="preserve"> </w:t>
      </w:r>
      <w:r>
        <w:t xml:space="preserve">и нажать на</w:t>
      </w:r>
      <w:r>
        <w:t xml:space="preserve"> </w:t>
      </w:r>
      <w:r>
        <w:rPr>
          <w:rStyle w:val="VerbatimChar"/>
        </w:rPr>
        <w:t xml:space="preserve">IP Address and Domain Restrictions</w:t>
      </w:r>
      <w:r>
        <w:t xml:space="preserve"> </w:t>
      </w:r>
      <w:r>
        <w:t xml:space="preserve">(рис. 20):</w:t>
      </w:r>
    </w:p>
    <w:bookmarkStart w:id="102" w:name="fig:020"/>
    <w:p>
      <w:pPr>
        <w:pStyle w:val="CaptionedFigure"/>
      </w:pPr>
      <w:r>
        <w:drawing>
          <wp:inline>
            <wp:extent cx="3733800" cy="1848586"/>
            <wp:effectExtent b="0" l="0" r="0" t="0"/>
            <wp:docPr descr="Рис. 20: Окно Internet Information Services (IIS) Manager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Окно</w:t>
      </w:r>
      <w:r>
        <w:t xml:space="preserve"> </w:t>
      </w:r>
      <w:r>
        <w:rPr>
          <w:rStyle w:val="VerbatimChar"/>
        </w:rPr>
        <w:t xml:space="preserve">Internet Information Services (IIS) Manager</w:t>
      </w:r>
    </w:p>
    <w:bookmarkEnd w:id="102"/>
    <w:p>
      <w:pPr>
        <w:pStyle w:val="Compact"/>
        <w:numPr>
          <w:ilvl w:val="0"/>
          <w:numId w:val="1002"/>
        </w:numPr>
      </w:pPr>
      <w:r>
        <w:t xml:space="preserve">Далее в «Edit Feature Settings» – «Access for unspecified clients» выбрать пункт «Deny» и нажать «OK» (рис. 21):</w:t>
      </w:r>
    </w:p>
    <w:bookmarkStart w:id="106" w:name="fig:021"/>
    <w:p>
      <w:pPr>
        <w:pStyle w:val="CaptionedFigure"/>
      </w:pPr>
      <w:r>
        <w:drawing>
          <wp:inline>
            <wp:extent cx="3733800" cy="1721202"/>
            <wp:effectExtent b="0" l="0" r="0" t="0"/>
            <wp:docPr descr="Рис. 21: «IP Address and Domain Restrictions»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«IP Address and Domain Restrictions»</w:t>
      </w:r>
    </w:p>
    <w:bookmarkEnd w:id="106"/>
    <w:p>
      <w:pPr>
        <w:pStyle w:val="BodyText"/>
      </w:pPr>
      <w:r>
        <w:t xml:space="preserve">Следует отметить, что индикатор устранения уязвимости не изменится, пока не будет устранено последствие в виде вредоносного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-соединения.</w:t>
      </w:r>
    </w:p>
    <w:bookmarkEnd w:id="107"/>
    <w:bookmarkStart w:id="118" w:name="последствие-уязвимости-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Последствие уязвимости 2</w:t>
      </w:r>
    </w:p>
    <w:p>
      <w:pPr>
        <w:pStyle w:val="FirstParagraph"/>
      </w:pPr>
      <w:r>
        <w:t xml:space="preserve">Уязвимый узел позволяет реализовать следующие виды полезной нагрузки: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meterpreter</w:t>
      </w:r>
      <w:r>
        <w:t xml:space="preserve">-сессия;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web-shell China Chopper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registry backdoor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file encryption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service backdoor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IIS backdoor</w:t>
      </w:r>
      <w:r>
        <w:t xml:space="preserve">;</w:t>
      </w:r>
    </w:p>
    <w:p>
      <w:pPr>
        <w:numPr>
          <w:ilvl w:val="0"/>
          <w:numId w:val="1003"/>
        </w:numPr>
      </w:pPr>
      <w:r>
        <w:t xml:space="preserve">добавление пользователя системы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Task Scheduler backdoor</w:t>
      </w:r>
      <w:r>
        <w:t xml:space="preserve">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SmartScreen Spoof</w:t>
      </w:r>
      <w:r>
        <w:t xml:space="preserve">.</w:t>
      </w:r>
    </w:p>
    <w:p>
      <w:pPr>
        <w:pStyle w:val="FirstParagraph"/>
      </w:pPr>
      <w:r>
        <w:t xml:space="preserve">В контексте устранения последствия рассмотрим</w:t>
      </w:r>
      <w:r>
        <w:t xml:space="preserve"> </w:t>
      </w:r>
      <w:r>
        <w:rPr>
          <w:b/>
          <w:bCs/>
        </w:rPr>
        <w:t xml:space="preserve">meterpreter- сессию</w:t>
      </w:r>
      <w:r>
        <w:t xml:space="preserve">.</w:t>
      </w:r>
    </w:p>
    <w:bookmarkStart w:id="112" w:name="meterpreter-сесси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rPr>
          <w:rStyle w:val="VerbatimChar"/>
        </w:rPr>
        <w:t xml:space="preserve">Meterpreter</w:t>
      </w:r>
      <w:r>
        <w:t xml:space="preserve">-сессия</w:t>
      </w:r>
    </w:p>
    <w:p>
      <w:pPr>
        <w:pStyle w:val="FirstParagraph"/>
      </w:pPr>
      <w:r>
        <w:t xml:space="preserve">Данная полезная нагрузка заключается в получении нарушителем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-сессии с уязвимым сервером.</w:t>
      </w:r>
    </w:p>
    <w:p>
      <w:pPr>
        <w:pStyle w:val="BodyText"/>
      </w:pPr>
      <w:r>
        <w:t xml:space="preserve">Данную полезную нагрузку можно обнаружить с помощью утилиты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 </w:t>
      </w:r>
      <w:r>
        <w:t xml:space="preserve">с ключами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rPr>
          <w:rStyle w:val="VerbatimChar"/>
        </w:rPr>
        <w:t xml:space="preserve">-c</w:t>
      </w:r>
      <w:r>
        <w:t xml:space="preserve">. В случае установления соединения на уязвимой машине появится сокет с машиной нарушителя. Для закрытия</w:t>
      </w:r>
      <w:r>
        <w:t xml:space="preserve"> </w:t>
      </w:r>
      <w:r>
        <w:rPr>
          <w:rStyle w:val="VerbatimChar"/>
        </w:rPr>
        <w:t xml:space="preserve">meterpreter</w:t>
      </w:r>
      <w:r>
        <w:t xml:space="preserve">-сессии необходимо завершить процесс данного соединения с помощью команды</w:t>
      </w:r>
      <w:r>
        <w:t xml:space="preserve"> </w:t>
      </w:r>
      <w:r>
        <w:rPr>
          <w:rStyle w:val="VerbatimChar"/>
        </w:rPr>
        <w:t xml:space="preserve">taskkill /PID &lt;PID&gt; /F</w:t>
      </w:r>
      <w:r>
        <w:t xml:space="preserve">. Данная команда в системе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t xml:space="preserve">используется для принудительного завершения процесса. На вход команда</w:t>
      </w:r>
      <w:r>
        <w:t xml:space="preserve"> </w:t>
      </w:r>
      <w:r>
        <w:rPr>
          <w:rStyle w:val="VerbatimChar"/>
        </w:rPr>
        <w:t xml:space="preserve">taskkill</w:t>
      </w:r>
      <w:r>
        <w:t xml:space="preserve"> </w:t>
      </w:r>
      <w:r>
        <w:t xml:space="preserve">получает идентификатор процесса</w:t>
      </w:r>
      <w:r>
        <w:t xml:space="preserve"> </w:t>
      </w:r>
      <w:r>
        <w:rPr>
          <w:rStyle w:val="VerbatimChar"/>
        </w:rPr>
        <w:t xml:space="preserve">PID</w:t>
      </w:r>
      <w:r>
        <w:t xml:space="preserve"> </w:t>
      </w:r>
      <w:r>
        <w:t xml:space="preserve">и параметр команды</w:t>
      </w:r>
      <w:r>
        <w:t xml:space="preserve"> </w:t>
      </w:r>
      <w:r>
        <w:rPr>
          <w:rStyle w:val="VerbatimChar"/>
        </w:rPr>
        <w:t xml:space="preserve">/F</w:t>
      </w:r>
      <w:r>
        <w:t xml:space="preserve">, который указывает на принудительное завершение процесса. (рис. 22):</w:t>
      </w:r>
    </w:p>
    <w:bookmarkStart w:id="111" w:name="fig:022"/>
    <w:p>
      <w:pPr>
        <w:pStyle w:val="CaptionedFigure"/>
      </w:pPr>
      <w:r>
        <w:drawing>
          <wp:inline>
            <wp:extent cx="3733800" cy="2776415"/>
            <wp:effectExtent b="0" l="0" r="0" t="0"/>
            <wp:docPr descr="Рис. 22: Завершение процесса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Завершение процесса</w:t>
      </w:r>
    </w:p>
    <w:bookmarkEnd w:id="111"/>
    <w:p>
      <w:pPr>
        <w:pStyle w:val="BodyText"/>
      </w:pPr>
      <w:r>
        <w:t xml:space="preserve">Соединение с нарушителем ликвидировано.</w:t>
      </w:r>
    </w:p>
    <w:bookmarkEnd w:id="112"/>
    <w:bookmarkStart w:id="117" w:name="web-shell-china-chopper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rPr>
          <w:rStyle w:val="VerbatimChar"/>
        </w:rPr>
        <w:t xml:space="preserve">Web-shell China Chopper</w:t>
      </w:r>
    </w:p>
    <w:p>
      <w:pPr>
        <w:pStyle w:val="FirstParagraph"/>
      </w:pPr>
      <w:r>
        <w:t xml:space="preserve">Также следует обратить внимание на</w:t>
      </w:r>
      <w:r>
        <w:t xml:space="preserve"> </w:t>
      </w:r>
      <w:r>
        <w:rPr>
          <w:rStyle w:val="VerbatimChar"/>
        </w:rPr>
        <w:t xml:space="preserve">Web-shell China Chopper</w:t>
      </w:r>
      <w:r>
        <w:t xml:space="preserve">.</w:t>
      </w:r>
      <w:r>
        <w:t xml:space="preserve"> </w:t>
      </w:r>
      <w:r>
        <w:rPr>
          <w:rStyle w:val="VerbatimChar"/>
        </w:rPr>
        <w:t xml:space="preserve">Backdoor «China Chopper»</w:t>
      </w:r>
      <w:r>
        <w:t xml:space="preserve"> </w:t>
      </w:r>
      <w:r>
        <w:t xml:space="preserve">можно найти в очевидной для таких атак директории</w:t>
      </w:r>
      <w:r>
        <w:t xml:space="preserve"> </w:t>
      </w:r>
      <w:r>
        <w:rPr>
          <w:rStyle w:val="VerbatimChar"/>
        </w:rPr>
        <w:t xml:space="preserve">C:\Program Files\Microsoft\Exchange Server\V15\FrontEnd\HttpProxy\owa\auth\AM_backdoor.aspx</w:t>
      </w:r>
      <w:r>
        <w:t xml:space="preserve">.</w:t>
      </w:r>
    </w:p>
    <w:p>
      <w:pPr>
        <w:pStyle w:val="BodyText"/>
      </w:pPr>
      <w:r>
        <w:t xml:space="preserve">Большинство РОС (проверок концепций) эксплуатации уязвимости</w:t>
      </w:r>
      <w:r>
        <w:t xml:space="preserve"> </w:t>
      </w:r>
      <w:r>
        <w:rPr>
          <w:rStyle w:val="VerbatimChar"/>
        </w:rPr>
        <w:t xml:space="preserve">Proxylogon</w:t>
      </w:r>
      <w:r>
        <w:t xml:space="preserve"> </w:t>
      </w:r>
      <w:r>
        <w:t xml:space="preserve">записывают файл именно по данному адресу, что выполняется для доступа backdoor без авторизации из веб-директории</w:t>
      </w:r>
      <w:r>
        <w:t xml:space="preserve"> </w:t>
      </w:r>
      <w:r>
        <w:rPr>
          <w:rStyle w:val="VerbatimChar"/>
        </w:rPr>
        <w:t xml:space="preserve">owa/auth</w:t>
      </w:r>
      <w:r>
        <w:t xml:space="preserve">. При необходимости полезную нагрузку можно записать в другую директорию.</w:t>
      </w:r>
    </w:p>
    <w:p>
      <w:pPr>
        <w:pStyle w:val="BodyText"/>
      </w:pPr>
      <w:r>
        <w:t xml:space="preserve">Для устранения полезной нагрузки необходимо:</w:t>
      </w:r>
    </w:p>
    <w:p>
      <w:pPr>
        <w:pStyle w:val="Compact"/>
        <w:numPr>
          <w:ilvl w:val="0"/>
          <w:numId w:val="1004"/>
        </w:numPr>
      </w:pPr>
      <w:r>
        <w:t xml:space="preserve">удалить файл веб-оболочки по пути</w:t>
      </w:r>
      <w:r>
        <w:t xml:space="preserve"> </w:t>
      </w:r>
      <w:r>
        <w:rPr>
          <w:rStyle w:val="VerbatimChar"/>
        </w:rPr>
        <w:t xml:space="preserve">C:\Program Files\Microsoft\Exchange Server\V15\FrontEnd\HttpProxy\..\auth\</w:t>
      </w:r>
      <w:r>
        <w:t xml:space="preserve"> </w:t>
      </w:r>
      <w:r>
        <w:t xml:space="preserve">(рис. 23):</w:t>
      </w:r>
    </w:p>
    <w:bookmarkStart w:id="116" w:name="fig:023"/>
    <w:p>
      <w:pPr>
        <w:pStyle w:val="CaptionedFigure"/>
      </w:pPr>
      <w:r>
        <w:drawing>
          <wp:inline>
            <wp:extent cx="3733800" cy="2543614"/>
            <wp:effectExtent b="0" l="0" r="0" t="0"/>
            <wp:docPr descr="Рис. 23: Удаление файла web-оболочки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Удаление файла web-оболочки</w:t>
      </w:r>
    </w:p>
    <w:bookmarkEnd w:id="116"/>
    <w:p>
      <w:pPr>
        <w:pStyle w:val="Compact"/>
        <w:numPr>
          <w:ilvl w:val="0"/>
          <w:numId w:val="1005"/>
        </w:numPr>
      </w:pPr>
      <w:r>
        <w:t xml:space="preserve">завершить все соединения между уязвимой машиной и нарушителем (рис. 22).</w:t>
      </w:r>
    </w:p>
    <w:p>
      <w:pPr>
        <w:pStyle w:val="FirstParagraph"/>
      </w:pPr>
      <w:r>
        <w:t xml:space="preserve">После проделанных действий, уязвимость 2 и ее последствие будут устранены.</w:t>
      </w:r>
    </w:p>
    <w:bookmarkEnd w:id="117"/>
    <w:bookmarkEnd w:id="118"/>
    <w:bookmarkStart w:id="139" w:name="уязвимость-3.-cve-2021-22911.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Уязвимость 3. CVE-2021-22911.</w:t>
      </w:r>
    </w:p>
    <w:p>
      <w:pPr>
        <w:pStyle w:val="FirstParagraph"/>
      </w:pPr>
      <w:r>
        <w:t xml:space="preserve">Непосредственно эксплуатацию уязвимости обнаружить при помощи сетевого сенсора</w:t>
      </w:r>
      <w:r>
        <w:t xml:space="preserve"> </w:t>
      </w:r>
      <w:r>
        <w:rPr>
          <w:rStyle w:val="VerbatimChar"/>
        </w:rPr>
        <w:t xml:space="preserve">ViPNet IDS NS</w:t>
      </w:r>
      <w:r>
        <w:t xml:space="preserve"> </w:t>
      </w:r>
      <w:r>
        <w:t xml:space="preserve">не получится, однако успешно детектируются последствия, а именно скачивание вредоносного файла для установки обратного TCP-соединения (</w:t>
      </w:r>
      <w:r>
        <w:rPr>
          <w:rStyle w:val="VerbatimChar"/>
        </w:rPr>
        <w:t xml:space="preserve">meterpreter</w:t>
      </w:r>
      <w:r>
        <w:t xml:space="preserve">-сессии) и на каком порту установлено соединени е (рис. 24):</w:t>
      </w:r>
    </w:p>
    <w:bookmarkStart w:id="122" w:name="fig:024"/>
    <w:p>
      <w:pPr>
        <w:pStyle w:val="CaptionedFigure"/>
      </w:pPr>
      <w:r>
        <w:drawing>
          <wp:inline>
            <wp:extent cx="3733800" cy="2143477"/>
            <wp:effectExtent b="0" l="0" r="0" t="0"/>
            <wp:docPr descr="Рис. 24: События ИБ в сетевом сенсоре ViPNet IDS NS" title="" id="120" name="Picture"/>
            <a:graphic>
              <a:graphicData uri="http://schemas.openxmlformats.org/drawingml/2006/picture">
                <pic:pic>
                  <pic:nvPicPr>
                    <pic:cNvPr descr="image/24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События ИБ в сетевом сенсоре</w:t>
      </w:r>
      <w:r>
        <w:t xml:space="preserve"> </w:t>
      </w:r>
      <w:r>
        <w:rPr>
          <w:rStyle w:val="VerbatimChar"/>
        </w:rPr>
        <w:t xml:space="preserve">ViPNet IDS NS</w:t>
      </w:r>
    </w:p>
    <w:bookmarkEnd w:id="122"/>
    <w:p>
      <w:pPr>
        <w:pStyle w:val="BodyText"/>
      </w:pPr>
      <w:r>
        <w:t xml:space="preserve">Создадим последнюю карточку инцидента (рис. 25):</w:t>
      </w:r>
    </w:p>
    <w:bookmarkStart w:id="126" w:name="fig:025"/>
    <w:p>
      <w:pPr>
        <w:pStyle w:val="CaptionedFigure"/>
      </w:pPr>
      <w:r>
        <w:drawing>
          <wp:inline>
            <wp:extent cx="3733800" cy="1973110"/>
            <wp:effectExtent b="0" l="0" r="0" t="0"/>
            <wp:docPr descr="Рис. 25: Карточка инцидента третьей уязвимости" title="" id="124" name="Picture"/>
            <a:graphic>
              <a:graphicData uri="http://schemas.openxmlformats.org/drawingml/2006/picture">
                <pic:pic>
                  <pic:nvPicPr>
                    <pic:cNvPr descr="image/2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Карточка инцидента третьей уязвимости</w:t>
      </w:r>
    </w:p>
    <w:bookmarkEnd w:id="126"/>
    <w:p>
      <w:pPr>
        <w:pStyle w:val="BodyText"/>
      </w:pPr>
      <w:r>
        <w:t xml:space="preserve">Заполнив все поля, можно перейти к устранению.</w:t>
      </w:r>
    </w:p>
    <w:p>
      <w:pPr>
        <w:pStyle w:val="BodyText"/>
      </w:pPr>
      <w:r>
        <w:t xml:space="preserve">Для восстановления доступа к аккаунту администратора необходимо сбросить пароль (рис. 26):</w:t>
      </w:r>
    </w:p>
    <w:bookmarkStart w:id="130" w:name="fig:026"/>
    <w:p>
      <w:pPr>
        <w:pStyle w:val="CaptionedFigure"/>
      </w:pPr>
      <w:r>
        <w:drawing>
          <wp:inline>
            <wp:extent cx="3733800" cy="2494550"/>
            <wp:effectExtent b="0" l="0" r="0" t="0"/>
            <wp:docPr descr="Рис. 26: Сброс пароля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Сброс пароля</w:t>
      </w:r>
    </w:p>
    <w:bookmarkEnd w:id="130"/>
    <w:p>
      <w:pPr>
        <w:pStyle w:val="BodyText"/>
      </w:pPr>
      <w:r>
        <w:t xml:space="preserve">Письмо с инструкциями для сброса пароля можно прочитать при помощи утилиты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(переключившись на учетную запись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), либо при помощи текстового редактора, прочитав файл</w:t>
      </w:r>
      <w:r>
        <w:t xml:space="preserve"> </w:t>
      </w:r>
      <w:r>
        <w:rPr>
          <w:rStyle w:val="VerbatimChar"/>
        </w:rPr>
        <w:t xml:space="preserve">/var/mail/admin</w:t>
      </w:r>
      <w:r>
        <w:t xml:space="preserve"> </w:t>
      </w:r>
      <w:r>
        <w:t xml:space="preserve">(рис. 27):</w:t>
      </w:r>
    </w:p>
    <w:bookmarkStart w:id="134" w:name="fig:027"/>
    <w:p>
      <w:pPr>
        <w:pStyle w:val="CaptionedFigure"/>
      </w:pPr>
      <w:r>
        <w:drawing>
          <wp:inline>
            <wp:extent cx="3733800" cy="2405343"/>
            <wp:effectExtent b="0" l="0" r="0" t="0"/>
            <wp:docPr descr="Рис. 27: Ссылка для сброса пароля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Ссылка для сброса пароля</w:t>
      </w:r>
    </w:p>
    <w:bookmarkEnd w:id="134"/>
    <w:p>
      <w:pPr>
        <w:pStyle w:val="BodyText"/>
      </w:pPr>
      <w:r>
        <w:t xml:space="preserve">Нужно обратить внимание, что в терминале при переносе строки используется знак «=», его следует игнорировать.</w:t>
      </w:r>
    </w:p>
    <w:p>
      <w:pPr>
        <w:pStyle w:val="BodyText"/>
      </w:pPr>
      <w:r>
        <w:t xml:space="preserve">После этого необходимо ввести новый пароль. Для учетной записи администратора</w:t>
      </w:r>
      <w:r>
        <w:t xml:space="preserve"> </w:t>
      </w:r>
      <w:r>
        <w:rPr>
          <w:rStyle w:val="VerbatimChar"/>
        </w:rPr>
        <w:t xml:space="preserve">Rocket Chat</w:t>
      </w:r>
      <w:r>
        <w:t xml:space="preserve"> </w:t>
      </w:r>
      <w:r>
        <w:t xml:space="preserve">настроена двухфакторная аутентификация при помощи</w:t>
      </w:r>
      <w:r>
        <w:t xml:space="preserve"> </w:t>
      </w:r>
      <w:r>
        <w:rPr>
          <w:rStyle w:val="VerbatimChar"/>
        </w:rPr>
        <w:t xml:space="preserve">TOTP (Time-based one-time password)</w:t>
      </w:r>
      <w:r>
        <w:t xml:space="preserve">. Для генерации одноразового пароля необходимо воспользоваться программой</w:t>
      </w:r>
      <w:r>
        <w:t xml:space="preserve"> </w:t>
      </w:r>
      <w:r>
        <w:rPr>
          <w:rStyle w:val="VerbatimChar"/>
        </w:rPr>
        <w:t xml:space="preserve">Keepass</w:t>
      </w:r>
      <w:r>
        <w:t xml:space="preserve">, доступной на машине администрирования (рис. 28):</w:t>
      </w:r>
    </w:p>
    <w:bookmarkStart w:id="138" w:name="fig:028"/>
    <w:p>
      <w:pPr>
        <w:pStyle w:val="CaptionedFigure"/>
      </w:pPr>
      <w:r>
        <w:drawing>
          <wp:inline>
            <wp:extent cx="3733800" cy="2135132"/>
            <wp:effectExtent b="0" l="0" r="0" t="0"/>
            <wp:docPr descr="Рис. 28: Создание нового пароля" title="" id="136" name="Picture"/>
            <a:graphic>
              <a:graphicData uri="http://schemas.openxmlformats.org/drawingml/2006/picture">
                <pic:pic>
                  <pic:nvPicPr>
                    <pic:cNvPr descr="image/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нового пароля</w:t>
      </w:r>
    </w:p>
    <w:bookmarkEnd w:id="138"/>
    <w:p>
      <w:pPr>
        <w:pStyle w:val="BodyText"/>
      </w:pPr>
      <w:r>
        <w:rPr>
          <w:b/>
          <w:bCs/>
        </w:rPr>
        <w:t xml:space="preserve">Конечно же у меня ничего не получилось с первого раза, но мы не сдаемся.</w:t>
      </w:r>
    </w:p>
    <w:bookmarkEnd w:id="139"/>
    <w:bookmarkStart w:id="172" w:name="борьба-за-вход-в-rocket-chat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Борьба за вход в Rocket Chat</w:t>
      </w:r>
    </w:p>
    <w:p>
      <w:pPr>
        <w:pStyle w:val="FirstParagraph"/>
      </w:pPr>
      <w:r>
        <w:t xml:space="preserve">Если восстановить доступ к учетной записи администратора не получается (не приходит письмо, не находит пользователя), необходимо сначала восстановить БД</w:t>
      </w:r>
      <w:r>
        <w:t xml:space="preserve"> </w:t>
      </w:r>
      <w:r>
        <w:rPr>
          <w:rStyle w:val="VerbatimChar"/>
        </w:rPr>
        <w:t xml:space="preserve">rocketchat</w:t>
      </w:r>
      <w:r>
        <w:t xml:space="preserve">.</w:t>
      </w:r>
    </w:p>
    <w:p>
      <w:pPr>
        <w:pStyle w:val="BodyText"/>
      </w:pPr>
      <w:r>
        <w:t xml:space="preserve">Проверить наличие БД можно при помощи консоли управления СУБД, подключиться к которой можно командой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, выполнив команды (рис. 29):</w:t>
      </w:r>
    </w:p>
    <w:bookmarkStart w:id="143" w:name="fig:029"/>
    <w:p>
      <w:pPr>
        <w:pStyle w:val="CaptionedFigure"/>
      </w:pPr>
      <w:r>
        <w:drawing>
          <wp:inline>
            <wp:extent cx="3359216" cy="3705726"/>
            <wp:effectExtent b="0" l="0" r="0" t="0"/>
            <wp:docPr descr="Рис. 29: Проверка наличия БД" title="" id="141" name="Picture"/>
            <a:graphic>
              <a:graphicData uri="http://schemas.openxmlformats.org/drawingml/2006/picture">
                <pic:pic>
                  <pic:nvPicPr>
                    <pic:cNvPr descr="image/2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16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 наличия БД</w:t>
      </w:r>
    </w:p>
    <w:bookmarkEnd w:id="143"/>
    <w:p>
      <w:pPr>
        <w:pStyle w:val="BodyText"/>
      </w:pPr>
      <w:r>
        <w:t xml:space="preserve">Как видно из рисунка, БД</w:t>
      </w:r>
      <w:r>
        <w:t xml:space="preserve"> </w:t>
      </w:r>
      <w:r>
        <w:rPr>
          <w:rStyle w:val="VerbatimChar"/>
        </w:rPr>
        <w:t xml:space="preserve">rocketchat</w:t>
      </w:r>
      <w:r>
        <w:t xml:space="preserve"> </w:t>
      </w:r>
      <w:r>
        <w:t xml:space="preserve">существует (так как были попытки аутентификации в Rocket Chat), однако в ней нет необходимых коллекций для корректного функционирования сервиса (должно быть 72 коллекции). Для восстановления БД можно воспользоваться бэкапом, созданным ранее, или заново проинициализировать БД. Для того чтобы в БД не записывалась никакая «мусорная» информация, необходимо остановить службу</w:t>
      </w:r>
      <w:r>
        <w:t xml:space="preserve"> </w:t>
      </w:r>
      <w:r>
        <w:rPr>
          <w:rStyle w:val="VerbatimChar"/>
        </w:rPr>
        <w:t xml:space="preserve">Rocket Chat</w:t>
      </w:r>
      <w:r>
        <w:t xml:space="preserve">. Также удалим базу и проверим корректность удаления (рис. 30):</w:t>
      </w:r>
    </w:p>
    <w:bookmarkStart w:id="147" w:name="fig:030"/>
    <w:p>
      <w:pPr>
        <w:pStyle w:val="CaptionedFigure"/>
      </w:pPr>
      <w:r>
        <w:drawing>
          <wp:inline>
            <wp:extent cx="3733800" cy="3966580"/>
            <wp:effectExtent b="0" l="0" r="0" t="0"/>
            <wp:docPr descr="Рис. 30: Остановка службы и удаление БД" title="" id="145" name="Picture"/>
            <a:graphic>
              <a:graphicData uri="http://schemas.openxmlformats.org/drawingml/2006/picture">
                <pic:pic>
                  <pic:nvPicPr>
                    <pic:cNvPr descr="image/30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Остановка службы и удаление БД</w:t>
      </w:r>
    </w:p>
    <w:bookmarkEnd w:id="147"/>
    <w:p>
      <w:pPr>
        <w:pStyle w:val="BodyText"/>
      </w:pPr>
      <w:r>
        <w:t xml:space="preserve">Теперь восстановим БД из бэкапа (рис. 31):</w:t>
      </w:r>
    </w:p>
    <w:bookmarkStart w:id="151" w:name="fig:031"/>
    <w:p>
      <w:pPr>
        <w:pStyle w:val="CaptionedFigure"/>
      </w:pPr>
      <w:r>
        <w:drawing>
          <wp:inline>
            <wp:extent cx="3733800" cy="2416214"/>
            <wp:effectExtent b="0" l="0" r="0" t="0"/>
            <wp:docPr descr="Рис. 31: Восстановление БД из бэкапа" title="" id="149" name="Picture"/>
            <a:graphic>
              <a:graphicData uri="http://schemas.openxmlformats.org/drawingml/2006/picture">
                <pic:pic>
                  <pic:nvPicPr>
                    <pic:cNvPr descr="image/3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Восстановление БД из бэкапа</w:t>
      </w:r>
    </w:p>
    <w:bookmarkEnd w:id="151"/>
    <w:p>
      <w:pPr>
        <w:pStyle w:val="BodyText"/>
      </w:pPr>
      <w:r>
        <w:t xml:space="preserve">Теперь запустим</w:t>
      </w:r>
      <w:r>
        <w:t xml:space="preserve"> </w:t>
      </w:r>
      <w:r>
        <w:rPr>
          <w:rStyle w:val="VerbatimChar"/>
        </w:rPr>
        <w:t xml:space="preserve">RocketChat</w:t>
      </w:r>
      <w:r>
        <w:t xml:space="preserve"> </w:t>
      </w:r>
      <w:r>
        <w:t xml:space="preserve">и проверим статус (рис. 32):</w:t>
      </w:r>
    </w:p>
    <w:bookmarkStart w:id="155" w:name="fig:032"/>
    <w:p>
      <w:pPr>
        <w:pStyle w:val="CaptionedFigure"/>
      </w:pPr>
      <w:r>
        <w:drawing>
          <wp:inline>
            <wp:extent cx="3733800" cy="3853529"/>
            <wp:effectExtent b="0" l="0" r="0" t="0"/>
            <wp:docPr descr="Рис. 32: Запуск RocketChat" title="" id="153" name="Picture"/>
            <a:graphic>
              <a:graphicData uri="http://schemas.openxmlformats.org/drawingml/2006/picture">
                <pic:pic>
                  <pic:nvPicPr>
                    <pic:cNvPr descr="image/3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3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Запуск</w:t>
      </w:r>
      <w:r>
        <w:t xml:space="preserve"> </w:t>
      </w:r>
      <w:r>
        <w:rPr>
          <w:rStyle w:val="VerbatimChar"/>
        </w:rPr>
        <w:t xml:space="preserve">RocketChat</w:t>
      </w:r>
    </w:p>
    <w:bookmarkEnd w:id="155"/>
    <w:p>
      <w:pPr>
        <w:pStyle w:val="BodyText"/>
      </w:pPr>
      <w:r>
        <w:t xml:space="preserve">На рисунке выше также видно, что БД корректно восстановлена.</w:t>
      </w:r>
    </w:p>
    <w:p>
      <w:pPr>
        <w:pStyle w:val="BodyText"/>
      </w:pPr>
      <w:r>
        <w:t xml:space="preserve">Внесем изменения в настройки конфигурации БД. Для этого необходимо отредактировать файл конфигурации БД</w:t>
      </w:r>
      <w:r>
        <w:t xml:space="preserve"> </w:t>
      </w:r>
      <w:r>
        <w:rPr>
          <w:rStyle w:val="VerbatimChar"/>
        </w:rPr>
        <w:t xml:space="preserve">/etc/mongod.conf</w:t>
      </w:r>
      <w:r>
        <w:t xml:space="preserve">, добавив строчку</w:t>
      </w:r>
      <w:r>
        <w:t xml:space="preserve"> </w:t>
      </w:r>
      <w:r>
        <w:rPr>
          <w:rStyle w:val="VerbatimChar"/>
        </w:rPr>
        <w:t xml:space="preserve">javascriptEnabled: false</w:t>
      </w:r>
      <w:r>
        <w:t xml:space="preserve"> </w:t>
      </w:r>
      <w:r>
        <w:t xml:space="preserve">(рис. 33):</w:t>
      </w:r>
    </w:p>
    <w:bookmarkStart w:id="159" w:name="fig:033"/>
    <w:p>
      <w:pPr>
        <w:pStyle w:val="CaptionedFigure"/>
      </w:pPr>
      <w:r>
        <w:drawing>
          <wp:inline>
            <wp:extent cx="3733800" cy="3180188"/>
            <wp:effectExtent b="0" l="0" r="0" t="0"/>
            <wp:docPr descr="Рис. 33: Редактирование конфигурации БД" title="" id="157" name="Picture"/>
            <a:graphic>
              <a:graphicData uri="http://schemas.openxmlformats.org/drawingml/2006/picture">
                <pic:pic>
                  <pic:nvPicPr>
                    <pic:cNvPr descr="image/3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Редактирование конфигурации БД</w:t>
      </w:r>
    </w:p>
    <w:bookmarkEnd w:id="159"/>
    <w:p>
      <w:pPr>
        <w:pStyle w:val="BodyText"/>
      </w:pPr>
      <w:r>
        <w:t xml:space="preserve">Когда параметр</w:t>
      </w:r>
      <w:r>
        <w:t xml:space="preserve"> </w:t>
      </w:r>
      <w:r>
        <w:rPr>
          <w:rStyle w:val="VerbatimChar"/>
        </w:rPr>
        <w:t xml:space="preserve">javascriptEnabled</w:t>
      </w:r>
      <w:r>
        <w:t xml:space="preserve"> </w:t>
      </w:r>
      <w:r>
        <w:t xml:space="preserve">отключен, нельзя использовать операции, выполняющие код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на стороне сервера, такие как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, оператор запроса mapReduce, команды</w:t>
      </w:r>
      <w:r>
        <w:t xml:space="preserve"> </w:t>
      </w:r>
      <w:r>
        <w:rPr>
          <w:rStyle w:val="VerbatimChar"/>
        </w:rPr>
        <w:t xml:space="preserve">$accumulator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$function</w:t>
      </w:r>
      <w:r>
        <w:t xml:space="preserve">. Для применения настроек необходимо перезапустить службу:</w:t>
      </w:r>
      <w:r>
        <w:t xml:space="preserve"> </w:t>
      </w:r>
      <w:r>
        <w:rPr>
          <w:rStyle w:val="VerbatimChar"/>
        </w:rPr>
        <w:t xml:space="preserve">sudo systemctl restart mongod.service</w:t>
      </w:r>
      <w:r>
        <w:t xml:space="preserve">.</w:t>
      </w:r>
    </w:p>
    <w:p>
      <w:pPr>
        <w:pStyle w:val="BodyText"/>
      </w:pPr>
      <w:r>
        <w:t xml:space="preserve">Теперь вернемся к входу в</w:t>
      </w:r>
      <w:r>
        <w:t xml:space="preserve"> </w:t>
      </w:r>
      <w:r>
        <w:rPr>
          <w:rStyle w:val="VerbatimChar"/>
        </w:rPr>
        <w:t xml:space="preserve">Rocket Chat</w:t>
      </w:r>
      <w:r>
        <w:t xml:space="preserve">. Также выполняем процедуру сброса пароля (рис. 26) и запрашиваем ссылку на почту (рис. 27).</w:t>
      </w:r>
      <w:r>
        <w:t xml:space="preserve"> </w:t>
      </w:r>
      <w:r>
        <w:t xml:space="preserve">Воспользуемся кодами для восстановлнения, которые записаны в файле</w:t>
      </w:r>
      <w:r>
        <w:t xml:space="preserve"> </w:t>
      </w:r>
      <w:r>
        <w:rPr>
          <w:rStyle w:val="VerbatimChar"/>
        </w:rPr>
        <w:t xml:space="preserve">/home/user/backup_codes</w:t>
      </w:r>
      <w:r>
        <w:t xml:space="preserve"> </w:t>
      </w:r>
      <w:r>
        <w:t xml:space="preserve">(рис. 34):</w:t>
      </w:r>
    </w:p>
    <w:bookmarkStart w:id="163" w:name="fig:034"/>
    <w:p>
      <w:pPr>
        <w:pStyle w:val="CaptionedFigure"/>
      </w:pPr>
      <w:r>
        <w:drawing>
          <wp:inline>
            <wp:extent cx="3733800" cy="404921"/>
            <wp:effectExtent b="0" l="0" r="0" t="0"/>
            <wp:docPr descr="Рис. 34: Коды восстановления" title="" id="161" name="Picture"/>
            <a:graphic>
              <a:graphicData uri="http://schemas.openxmlformats.org/drawingml/2006/picture">
                <pic:pic>
                  <pic:nvPicPr>
                    <pic:cNvPr descr="image/34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Коды восстановления</w:t>
      </w:r>
    </w:p>
    <w:bookmarkEnd w:id="163"/>
    <w:p>
      <w:pPr>
        <w:pStyle w:val="BodyText"/>
      </w:pPr>
      <w:r>
        <w:t xml:space="preserve">Воспользуемся одним из них (рис. 35):</w:t>
      </w:r>
    </w:p>
    <w:bookmarkStart w:id="167" w:name="fig:035"/>
    <w:p>
      <w:pPr>
        <w:pStyle w:val="CaptionedFigure"/>
      </w:pPr>
      <w:r>
        <w:drawing>
          <wp:inline>
            <wp:extent cx="3733800" cy="3376612"/>
            <wp:effectExtent b="0" l="0" r="0" t="0"/>
            <wp:docPr descr="Рис. 35: Ввод кода" title="" id="165" name="Picture"/>
            <a:graphic>
              <a:graphicData uri="http://schemas.openxmlformats.org/drawingml/2006/picture">
                <pic:pic>
                  <pic:nvPicPr>
                    <pic:cNvPr descr="image/3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Ввод кода</w:t>
      </w:r>
    </w:p>
    <w:bookmarkEnd w:id="167"/>
    <w:p>
      <w:pPr>
        <w:pStyle w:val="BodyText"/>
      </w:pPr>
      <w:r>
        <w:t xml:space="preserve">И происходит невероятное, мы заходим в</w:t>
      </w:r>
      <w:r>
        <w:t xml:space="preserve"> </w:t>
      </w:r>
      <w:r>
        <w:rPr>
          <w:rStyle w:val="VerbatimChar"/>
        </w:rPr>
        <w:t xml:space="preserve">Rocket Chat</w:t>
      </w:r>
      <w:r>
        <w:t xml:space="preserve"> </w:t>
      </w:r>
      <w:r>
        <w:t xml:space="preserve">(рис. 36):</w:t>
      </w:r>
    </w:p>
    <w:bookmarkStart w:id="171" w:name="fig:036"/>
    <w:p>
      <w:pPr>
        <w:pStyle w:val="CaptionedFigure"/>
      </w:pPr>
      <w:r>
        <w:drawing>
          <wp:inline>
            <wp:extent cx="3733800" cy="3303689"/>
            <wp:effectExtent b="0" l="0" r="0" t="0"/>
            <wp:docPr descr="Рис. 36: Успешный вход" title="" id="169" name="Picture"/>
            <a:graphic>
              <a:graphicData uri="http://schemas.openxmlformats.org/drawingml/2006/picture">
                <pic:pic>
                  <pic:nvPicPr>
                    <pic:cNvPr descr="image/36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3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Успешный вход</w:t>
      </w:r>
    </w:p>
    <w:bookmarkEnd w:id="171"/>
    <w:bookmarkEnd w:id="172"/>
    <w:bookmarkStart w:id="189" w:name="устранение-последствия-уязвимости-3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Устранение последствия уязвимости 3</w:t>
      </w:r>
    </w:p>
    <w:p>
      <w:pPr>
        <w:pStyle w:val="FirstParagraph"/>
      </w:pPr>
      <w:r>
        <w:t xml:space="preserve">Чтобы окончательно закрыть уязвимость и последствие мы закроем сессию с наршуителем (рис. 37):</w:t>
      </w:r>
    </w:p>
    <w:bookmarkStart w:id="176" w:name="fig:037"/>
    <w:p>
      <w:pPr>
        <w:pStyle w:val="CaptionedFigure"/>
      </w:pPr>
      <w:r>
        <w:drawing>
          <wp:inline>
            <wp:extent cx="3733800" cy="2395005"/>
            <wp:effectExtent b="0" l="0" r="0" t="0"/>
            <wp:docPr descr="Рис. 37: Находим сессию с нарушителем с пометкой testsystem" title="" id="174" name="Picture"/>
            <a:graphic>
              <a:graphicData uri="http://schemas.openxmlformats.org/drawingml/2006/picture">
                <pic:pic>
                  <pic:nvPicPr>
                    <pic:cNvPr descr="image/37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Находим сессию с нарушителем с пометкой</w:t>
      </w:r>
      <w:r>
        <w:t xml:space="preserve"> </w:t>
      </w:r>
      <w:r>
        <w:rPr>
          <w:rStyle w:val="VerbatimChar"/>
        </w:rPr>
        <w:t xml:space="preserve">testsystem</w:t>
      </w:r>
    </w:p>
    <w:bookmarkEnd w:id="176"/>
    <w:p>
      <w:pPr>
        <w:pStyle w:val="BodyText"/>
      </w:pPr>
      <w:r>
        <w:t xml:space="preserve">Закрываем сессию (рис. 38):</w:t>
      </w:r>
    </w:p>
    <w:bookmarkStart w:id="180" w:name="fig:038"/>
    <w:p>
      <w:pPr>
        <w:pStyle w:val="CaptionedFigure"/>
      </w:pPr>
      <w:r>
        <w:drawing>
          <wp:inline>
            <wp:extent cx="3733800" cy="2345196"/>
            <wp:effectExtent b="0" l="0" r="0" t="0"/>
            <wp:docPr descr="Рис. 38: Закрытие сессии с нарушителем" title="" id="178" name="Picture"/>
            <a:graphic>
              <a:graphicData uri="http://schemas.openxmlformats.org/drawingml/2006/picture">
                <pic:pic>
                  <pic:nvPicPr>
                    <pic:cNvPr descr="image/38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Закрытие сессии с нарушителем</w:t>
      </w:r>
    </w:p>
    <w:bookmarkEnd w:id="180"/>
    <w:p>
      <w:pPr>
        <w:pStyle w:val="BodyText"/>
      </w:pPr>
      <w:r>
        <w:t xml:space="preserve">Все инциденты закрыты (рис. 39):</w:t>
      </w:r>
    </w:p>
    <w:bookmarkStart w:id="184" w:name="fig:039"/>
    <w:p>
      <w:pPr>
        <w:pStyle w:val="CaptionedFigure"/>
      </w:pPr>
      <w:r>
        <w:drawing>
          <wp:inline>
            <wp:extent cx="3733800" cy="1515196"/>
            <wp:effectExtent b="0" l="0" r="0" t="0"/>
            <wp:docPr descr="Рис. 39: Закрытые инциденты" title="" id="182" name="Picture"/>
            <a:graphic>
              <a:graphicData uri="http://schemas.openxmlformats.org/drawingml/2006/picture">
                <pic:pic>
                  <pic:nvPicPr>
                    <pic:cNvPr descr="image/39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Закрытые инциденты</w:t>
      </w:r>
    </w:p>
    <w:bookmarkEnd w:id="184"/>
    <w:p>
      <w:pPr>
        <w:pStyle w:val="BodyText"/>
      </w:pPr>
      <w:r>
        <w:t xml:space="preserve">Все уязвимости и последствия устранены (рис. 40):</w:t>
      </w:r>
    </w:p>
    <w:bookmarkStart w:id="188" w:name="fig:040"/>
    <w:p>
      <w:pPr>
        <w:pStyle w:val="CaptionedFigure"/>
      </w:pPr>
      <w:r>
        <w:drawing>
          <wp:inline>
            <wp:extent cx="3733800" cy="2015571"/>
            <wp:effectExtent b="0" l="0" r="0" t="0"/>
            <wp:docPr descr="Рис. 40: Закрытые инциденты" title="" id="186" name="Picture"/>
            <a:graphic>
              <a:graphicData uri="http://schemas.openxmlformats.org/drawingml/2006/picture">
                <pic:pic>
                  <pic:nvPicPr>
                    <pic:cNvPr descr="image/40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Закрытые инциденты</w:t>
      </w:r>
    </w:p>
    <w:bookmarkEnd w:id="188"/>
    <w:bookmarkEnd w:id="189"/>
    <w:bookmarkEnd w:id="190"/>
    <w:bookmarkStart w:id="19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устранили уязвимости и последствия после атаки злоумышленника на сайт Компании с целью получения дсотупа к внутренним ресурсам.</w:t>
      </w:r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29" Target="media/rId2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33" Target="media/rId33.png" /><Relationship Type="http://schemas.openxmlformats.org/officeDocument/2006/relationships/image" Id="rId185" Target="media/rId185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dc:language>ru-RU</dc:language>
  <cp:keywords/>
  <dcterms:created xsi:type="dcterms:W3CDTF">2025-10-14T09:41:20Z</dcterms:created>
  <dcterms:modified xsi:type="dcterms:W3CDTF">2025-10-14T09:41:20Z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